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5FFA7548" w14:textId="77777777" w:rsidTr="00C50B27">
        <w:tc>
          <w:tcPr>
            <w:tcW w:w="9828" w:type="dxa"/>
            <w:gridSpan w:val="9"/>
          </w:tcPr>
          <w:p w14:paraId="7DC7404B" w14:textId="77777777"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26EB3487" w14:textId="77777777" w:rsidTr="00C50B27">
        <w:tc>
          <w:tcPr>
            <w:tcW w:w="2808" w:type="dxa"/>
          </w:tcPr>
          <w:p w14:paraId="267224B3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03F69CD4" w14:textId="77777777" w:rsidR="006847E2" w:rsidRPr="00C50B27" w:rsidRDefault="004D0135" w:rsidP="00362AB0">
            <w:pPr>
              <w:rPr>
                <w:sz w:val="22"/>
                <w:szCs w:val="22"/>
              </w:rPr>
            </w:pPr>
            <w:r w:rsidRPr="004D0135">
              <w:rPr>
                <w:sz w:val="22"/>
                <w:szCs w:val="22"/>
              </w:rPr>
              <w:t xml:space="preserve">Bc. Simona </w:t>
            </w:r>
            <w:proofErr w:type="spellStart"/>
            <w:r w:rsidRPr="004D0135">
              <w:rPr>
                <w:sz w:val="22"/>
                <w:szCs w:val="22"/>
              </w:rPr>
              <w:t>Halaburková</w:t>
            </w:r>
            <w:proofErr w:type="spellEnd"/>
          </w:p>
        </w:tc>
      </w:tr>
      <w:tr w:rsidR="006847E2" w:rsidRPr="00C50B27" w14:paraId="0AEC6D75" w14:textId="77777777" w:rsidTr="00C50B27">
        <w:tc>
          <w:tcPr>
            <w:tcW w:w="2808" w:type="dxa"/>
          </w:tcPr>
          <w:p w14:paraId="284AEBC5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5D43BE67" w14:textId="02049134" w:rsidR="006847E2" w:rsidRPr="00C50B27" w:rsidRDefault="004D0135" w:rsidP="00362AB0">
            <w:pPr>
              <w:rPr>
                <w:sz w:val="22"/>
                <w:szCs w:val="22"/>
              </w:rPr>
            </w:pPr>
            <w:r w:rsidRPr="004D0135">
              <w:rPr>
                <w:sz w:val="22"/>
                <w:szCs w:val="22"/>
              </w:rPr>
              <w:t xml:space="preserve">Zkušenosti rodičů se vzděláváním dětí s Aspergerovým syndromem na </w:t>
            </w:r>
            <w:r w:rsidR="00D82E8E">
              <w:rPr>
                <w:sz w:val="22"/>
                <w:szCs w:val="22"/>
              </w:rPr>
              <w:t xml:space="preserve">       </w:t>
            </w:r>
            <w:r w:rsidRPr="004D0135">
              <w:rPr>
                <w:sz w:val="22"/>
                <w:szCs w:val="22"/>
              </w:rPr>
              <w:t>1. stupni základní školy</w:t>
            </w:r>
          </w:p>
        </w:tc>
      </w:tr>
      <w:tr w:rsidR="006847E2" w:rsidRPr="00C50B27" w14:paraId="473E999B" w14:textId="77777777" w:rsidTr="00C50B27">
        <w:tc>
          <w:tcPr>
            <w:tcW w:w="2808" w:type="dxa"/>
          </w:tcPr>
          <w:p w14:paraId="2B2FD488" w14:textId="77777777"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14:paraId="64F933A1" w14:textId="77777777" w:rsidR="006847E2" w:rsidRPr="00C50B27" w:rsidRDefault="004D013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Iva Staňková, Ph.D., MBA</w:t>
            </w:r>
          </w:p>
        </w:tc>
      </w:tr>
      <w:tr w:rsidR="006847E2" w:rsidRPr="00C50B27" w14:paraId="4440E3F0" w14:textId="77777777" w:rsidTr="00C50B27">
        <w:tc>
          <w:tcPr>
            <w:tcW w:w="2808" w:type="dxa"/>
          </w:tcPr>
          <w:p w14:paraId="47979B49" w14:textId="77777777"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1E2D2067" w14:textId="77777777" w:rsidR="006847E2" w:rsidRPr="00C50B27" w:rsidRDefault="004D013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50E91B7E" w14:textId="77777777" w:rsidTr="00C50B27">
        <w:tc>
          <w:tcPr>
            <w:tcW w:w="2808" w:type="dxa"/>
          </w:tcPr>
          <w:p w14:paraId="087543D6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15B80D76" w14:textId="77777777" w:rsidR="006847E2" w:rsidRPr="00C50B27" w:rsidRDefault="004D013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14:paraId="5CE5B86E" w14:textId="77777777" w:rsidTr="00C50B27">
        <w:tc>
          <w:tcPr>
            <w:tcW w:w="2808" w:type="dxa"/>
            <w:vAlign w:val="center"/>
          </w:tcPr>
          <w:p w14:paraId="19D09062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713FD0BF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383824BA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203C87EF" w14:textId="77777777" w:rsidTr="00C50B27">
        <w:tc>
          <w:tcPr>
            <w:tcW w:w="9828" w:type="dxa"/>
            <w:gridSpan w:val="9"/>
            <w:shd w:val="clear" w:color="auto" w:fill="A6A6A6"/>
          </w:tcPr>
          <w:p w14:paraId="73E12B06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091D891D" w14:textId="77777777" w:rsidTr="00C50B27">
        <w:tc>
          <w:tcPr>
            <w:tcW w:w="6791" w:type="dxa"/>
            <w:gridSpan w:val="3"/>
          </w:tcPr>
          <w:p w14:paraId="4D378DF3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674D90F8" w14:textId="4864436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5BF774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D508C74" w14:textId="163A2AC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62922EB" w14:textId="6FB1E20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32D76FA" w14:textId="2B6F80E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23A13FD" w14:textId="5BDC3F26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30493BD2" w14:textId="77777777" w:rsidTr="00C50B27">
        <w:tc>
          <w:tcPr>
            <w:tcW w:w="6791" w:type="dxa"/>
            <w:gridSpan w:val="3"/>
          </w:tcPr>
          <w:p w14:paraId="4D21CA7D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2461EF0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C1BAA18" w14:textId="5F676C79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C5950A8" w14:textId="53F2C1E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978131F" w14:textId="4CA43E3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E828127" w14:textId="52EC41C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FA1766E" w14:textId="6A68D62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13E25CB9" w14:textId="77777777" w:rsidTr="00C50B27">
        <w:tc>
          <w:tcPr>
            <w:tcW w:w="6791" w:type="dxa"/>
            <w:gridSpan w:val="3"/>
          </w:tcPr>
          <w:p w14:paraId="0488A350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08EDD42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26EFEC4D" w14:textId="136DA7C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D49188B" w14:textId="24A6DE9B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583F6CC7" w14:textId="34510E85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43CF7CC" w14:textId="6F5BEAF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1FAF700" w14:textId="1C57CCE3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56036B94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6E0BCEA4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79C40317" w14:textId="77777777" w:rsidTr="00C50B27">
        <w:tc>
          <w:tcPr>
            <w:tcW w:w="6791" w:type="dxa"/>
            <w:gridSpan w:val="3"/>
          </w:tcPr>
          <w:p w14:paraId="5C42EC4C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0E701028" w14:textId="399C7E31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C287B4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80DA40A" w14:textId="5CD5A2AD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7E5AE048" w14:textId="2ECF2BF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F5B2363" w14:textId="7A1911DC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6698945" w14:textId="2B190672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747AC254" w14:textId="77777777" w:rsidTr="00C50B27">
        <w:tc>
          <w:tcPr>
            <w:tcW w:w="6791" w:type="dxa"/>
            <w:gridSpan w:val="3"/>
          </w:tcPr>
          <w:p w14:paraId="6FB78030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6DBDB4EF" w14:textId="586D819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1D32CA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3D642DC6" w14:textId="5B317010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73CE67C" w14:textId="58735284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6630FEC" w14:textId="2D7E1188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166814A" w14:textId="5C57C06E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382C4CD0" w14:textId="77777777" w:rsidTr="00C50B27">
        <w:tc>
          <w:tcPr>
            <w:tcW w:w="6791" w:type="dxa"/>
            <w:gridSpan w:val="3"/>
          </w:tcPr>
          <w:p w14:paraId="247E178A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1459C8E6" w14:textId="39FE6465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37CE922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A08A56C" w14:textId="3FCEBC20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8BF2BE7" w14:textId="3CC72B23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9040693" w14:textId="1124686F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A7CFE15" w14:textId="0E5FED6F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035D3962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168B9198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5C871C92" w14:textId="77777777" w:rsidTr="00C50B27">
        <w:tc>
          <w:tcPr>
            <w:tcW w:w="6791" w:type="dxa"/>
            <w:gridSpan w:val="3"/>
          </w:tcPr>
          <w:p w14:paraId="2A6F0AD1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00FEBFD5" w14:textId="7458001D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81201EE" w14:textId="4CD71B2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5E0E019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4F02262D" w14:textId="6B34246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07F795F" w14:textId="1E70DF5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55FF000" w14:textId="2380C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4EBCC619" w14:textId="77777777" w:rsidTr="00C50B27">
        <w:tc>
          <w:tcPr>
            <w:tcW w:w="6791" w:type="dxa"/>
            <w:gridSpan w:val="3"/>
          </w:tcPr>
          <w:p w14:paraId="465FEE72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694B6A59" w14:textId="6C84F9E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D3BB77F" w14:textId="250463ED" w:rsidR="0055255D" w:rsidRPr="00C50B27" w:rsidRDefault="00B245C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46FB2A79" w14:textId="347A4CFF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C994BA9" w14:textId="323E77D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FF854DC" w14:textId="71EA68B5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4DC33D2" w14:textId="3E80E55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19502988" w14:textId="77777777" w:rsidTr="00C50B27">
        <w:tc>
          <w:tcPr>
            <w:tcW w:w="6791" w:type="dxa"/>
            <w:gridSpan w:val="3"/>
          </w:tcPr>
          <w:p w14:paraId="3B087982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4F2A548E" w14:textId="5F200C1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5FAADBE" w14:textId="53232ECB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CE829E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119CD253" w14:textId="48F419B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83D653C" w14:textId="6AC2A9A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766199A4" w14:textId="4C0B5B84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3F4E4F70" w14:textId="77777777" w:rsidTr="00C50B27">
        <w:tc>
          <w:tcPr>
            <w:tcW w:w="6791" w:type="dxa"/>
            <w:gridSpan w:val="3"/>
          </w:tcPr>
          <w:p w14:paraId="3356111C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07DB3CB0" w14:textId="6B7C3A3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0B3D36E" w14:textId="1AE0C350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DC2CBE0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05140A99" w14:textId="7DC87783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CE753BA" w14:textId="7D8F4EA1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0183FB5A" w14:textId="58C0F54C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4EB1F0D8" w14:textId="77777777" w:rsidTr="00B411DB">
        <w:tc>
          <w:tcPr>
            <w:tcW w:w="9828" w:type="dxa"/>
            <w:gridSpan w:val="9"/>
            <w:shd w:val="clear" w:color="auto" w:fill="A6A6A6"/>
          </w:tcPr>
          <w:p w14:paraId="3A4A47D1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1F92933C" w14:textId="77777777" w:rsidTr="00C50B27">
        <w:tc>
          <w:tcPr>
            <w:tcW w:w="6791" w:type="dxa"/>
            <w:gridSpan w:val="3"/>
          </w:tcPr>
          <w:p w14:paraId="1B717918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6B3F5366" w14:textId="4B75590B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76F6D68" w14:textId="42E3A80F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8C52AA4" w14:textId="1883BAB3" w:rsidR="00B411DB" w:rsidRPr="00C50B27" w:rsidRDefault="00117B22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0F0192CC" w14:textId="2D156298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A695EF2" w14:textId="7CFDBBAA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76C44A7" w14:textId="31BEBA4C"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5D50183" w14:textId="77777777" w:rsidTr="00C50B27">
        <w:tc>
          <w:tcPr>
            <w:tcW w:w="6791" w:type="dxa"/>
            <w:gridSpan w:val="3"/>
          </w:tcPr>
          <w:p w14:paraId="55273319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5BE018CD" w14:textId="6FE5E11F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F245EB1" w14:textId="109E1822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1518D8E" w14:textId="5A3DED1B" w:rsidR="00B411DB" w:rsidRPr="00C50B27" w:rsidRDefault="00117B2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60B077F2" w14:textId="4090AAF4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CF66663" w14:textId="0A502B10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43C2DE3F" w14:textId="2874222F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6B9EB4A" w14:textId="77777777" w:rsidTr="00C50B27">
        <w:tc>
          <w:tcPr>
            <w:tcW w:w="9828" w:type="dxa"/>
            <w:gridSpan w:val="9"/>
          </w:tcPr>
          <w:p w14:paraId="77A7C445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73B1A656" w14:textId="77777777" w:rsidR="005B1E64" w:rsidRDefault="005B1E64" w:rsidP="005B1E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 práce:</w:t>
            </w:r>
          </w:p>
          <w:p w14:paraId="586611E6" w14:textId="1ADF35A3" w:rsidR="00117B22" w:rsidRPr="00B91FBD" w:rsidRDefault="00117B22" w:rsidP="005B1E64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r>
              <w:rPr>
                <w:sz w:val="22"/>
                <w:szCs w:val="22"/>
              </w:rPr>
              <w:t>Jednotlivé kapitoly jsou jasně cílené na problematiku. Studentka vhodně používá odborný jazyk, text je psaný velmi čtivou formou.</w:t>
            </w:r>
          </w:p>
          <w:p w14:paraId="440F55C0" w14:textId="6437002D" w:rsidR="005A71D1" w:rsidRPr="005A71D1" w:rsidRDefault="00117B22" w:rsidP="00DC541B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praktické části k</w:t>
            </w:r>
            <w:r w:rsidR="005A71D1" w:rsidRPr="005A71D1">
              <w:rPr>
                <w:sz w:val="22"/>
                <w:szCs w:val="22"/>
              </w:rPr>
              <w:t xml:space="preserve">vituji pečlivou, přehlednou a čtivou analýzu témat jednotlivých výpovědí. </w:t>
            </w:r>
          </w:p>
          <w:p w14:paraId="50E76DE2" w14:textId="52CAAB02" w:rsidR="005B1E64" w:rsidRPr="005A71D1" w:rsidRDefault="005B1E64" w:rsidP="005A71D1">
            <w:pPr>
              <w:jc w:val="both"/>
              <w:rPr>
                <w:sz w:val="22"/>
                <w:szCs w:val="22"/>
              </w:rPr>
            </w:pPr>
            <w:r w:rsidRPr="005A71D1">
              <w:rPr>
                <w:sz w:val="22"/>
                <w:szCs w:val="22"/>
              </w:rPr>
              <w:t>Slabé stránky práce:</w:t>
            </w:r>
          </w:p>
          <w:p w14:paraId="596F4D4E" w14:textId="56AD3120" w:rsidR="005B1E64" w:rsidRPr="00B91FBD" w:rsidRDefault="00B91FBD" w:rsidP="00B91FBD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B91FBD">
              <w:rPr>
                <w:sz w:val="22"/>
                <w:szCs w:val="22"/>
              </w:rPr>
              <w:t xml:space="preserve">V kapitole 2.2 </w:t>
            </w:r>
            <w:r w:rsidRPr="00B91FBD">
              <w:rPr>
                <w:i/>
                <w:sz w:val="22"/>
                <w:szCs w:val="22"/>
              </w:rPr>
              <w:t>Spolupráce rodiny a školy</w:t>
            </w:r>
            <w:r w:rsidRPr="00B91FBD">
              <w:rPr>
                <w:sz w:val="22"/>
                <w:szCs w:val="22"/>
              </w:rPr>
              <w:t xml:space="preserve"> autorka práce akcentuje (mimo jiné) potřebu komplexní týmového přístupu ke vzdělávání dětí s AS. Zmiňuje potřeb</w:t>
            </w:r>
            <w:r w:rsidR="00FF1137">
              <w:rPr>
                <w:sz w:val="22"/>
                <w:szCs w:val="22"/>
              </w:rPr>
              <w:t xml:space="preserve">u </w:t>
            </w:r>
            <w:r w:rsidRPr="00B91FBD">
              <w:rPr>
                <w:sz w:val="22"/>
                <w:szCs w:val="22"/>
              </w:rPr>
              <w:t>výchovného poradce a školního metodika prevence</w:t>
            </w:r>
            <w:r>
              <w:rPr>
                <w:sz w:val="22"/>
                <w:szCs w:val="22"/>
              </w:rPr>
              <w:t>. Š</w:t>
            </w:r>
            <w:r w:rsidRPr="00B91FBD">
              <w:rPr>
                <w:sz w:val="22"/>
                <w:szCs w:val="22"/>
              </w:rPr>
              <w:t xml:space="preserve">koda jen, že ve výčtu pozic nezmiňuje i další, dnes již </w:t>
            </w:r>
            <w:r>
              <w:rPr>
                <w:sz w:val="22"/>
                <w:szCs w:val="22"/>
              </w:rPr>
              <w:t xml:space="preserve">ve školách </w:t>
            </w:r>
            <w:r w:rsidRPr="00B91FBD">
              <w:rPr>
                <w:sz w:val="22"/>
                <w:szCs w:val="22"/>
              </w:rPr>
              <w:t>zcela běžné pozice ŠPP – speciálního pedagoga, školního psychologa nebo školního koordinátora podpory nadání</w:t>
            </w:r>
            <w:r w:rsidR="00117B22">
              <w:rPr>
                <w:sz w:val="22"/>
                <w:szCs w:val="22"/>
              </w:rPr>
              <w:t xml:space="preserve">, kteří hrají v naplňování </w:t>
            </w:r>
            <w:r w:rsidR="00FF1137">
              <w:rPr>
                <w:sz w:val="22"/>
                <w:szCs w:val="22"/>
              </w:rPr>
              <w:t>různorodých</w:t>
            </w:r>
            <w:r w:rsidR="00117B22">
              <w:rPr>
                <w:sz w:val="22"/>
                <w:szCs w:val="22"/>
              </w:rPr>
              <w:t xml:space="preserve"> rozvojových potřeb žáka s </w:t>
            </w:r>
            <w:proofErr w:type="gramStart"/>
            <w:r w:rsidR="00117B22">
              <w:rPr>
                <w:sz w:val="22"/>
                <w:szCs w:val="22"/>
              </w:rPr>
              <w:t>AS</w:t>
            </w:r>
            <w:proofErr w:type="gramEnd"/>
            <w:r w:rsidR="00117B22">
              <w:rPr>
                <w:sz w:val="22"/>
                <w:szCs w:val="22"/>
              </w:rPr>
              <w:t xml:space="preserve"> významnou roli</w:t>
            </w:r>
            <w:r w:rsidRPr="00B91FB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</w:p>
          <w:p w14:paraId="0357B1E2" w14:textId="734701F0" w:rsidR="00B91FBD" w:rsidRDefault="00B91FBD" w:rsidP="00B91FBD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8948F7">
              <w:rPr>
                <w:sz w:val="22"/>
                <w:szCs w:val="22"/>
              </w:rPr>
              <w:t xml:space="preserve">V podkapitole 2.3 </w:t>
            </w:r>
            <w:r w:rsidRPr="00117B22">
              <w:rPr>
                <w:i/>
                <w:sz w:val="22"/>
                <w:szCs w:val="22"/>
              </w:rPr>
              <w:t>Žák s Aspergerovým syndromem ve školní třídě</w:t>
            </w:r>
            <w:r w:rsidR="008948F7" w:rsidRPr="008948F7">
              <w:rPr>
                <w:sz w:val="22"/>
                <w:szCs w:val="22"/>
              </w:rPr>
              <w:t xml:space="preserve"> autorka práce řeší především práci s potřebami, které jsou spojeny s</w:t>
            </w:r>
            <w:r w:rsidR="00117B22">
              <w:rPr>
                <w:sz w:val="22"/>
                <w:szCs w:val="22"/>
              </w:rPr>
              <w:t>e</w:t>
            </w:r>
            <w:r w:rsidR="008948F7" w:rsidRPr="008948F7">
              <w:rPr>
                <w:sz w:val="22"/>
                <w:szCs w:val="22"/>
              </w:rPr>
              <w:t xml:space="preserve"> </w:t>
            </w:r>
            <w:r w:rsidR="008948F7">
              <w:rPr>
                <w:sz w:val="22"/>
                <w:szCs w:val="22"/>
              </w:rPr>
              <w:t>začlenění</w:t>
            </w:r>
            <w:r w:rsidR="00117B22">
              <w:rPr>
                <w:sz w:val="22"/>
                <w:szCs w:val="22"/>
              </w:rPr>
              <w:t>m</w:t>
            </w:r>
            <w:r w:rsidR="008948F7">
              <w:rPr>
                <w:sz w:val="22"/>
                <w:szCs w:val="22"/>
              </w:rPr>
              <w:t xml:space="preserve"> a adaptací, dále</w:t>
            </w:r>
            <w:r w:rsidR="008948F7" w:rsidRPr="008948F7">
              <w:rPr>
                <w:sz w:val="22"/>
                <w:szCs w:val="22"/>
              </w:rPr>
              <w:t xml:space="preserve"> </w:t>
            </w:r>
            <w:r w:rsidR="00117B22">
              <w:rPr>
                <w:sz w:val="22"/>
                <w:szCs w:val="22"/>
              </w:rPr>
              <w:t xml:space="preserve">řeší </w:t>
            </w:r>
            <w:r w:rsidR="008948F7" w:rsidRPr="008948F7">
              <w:rPr>
                <w:sz w:val="22"/>
                <w:szCs w:val="22"/>
              </w:rPr>
              <w:t>odlišnosti v oblasti vnímání</w:t>
            </w:r>
            <w:r w:rsidR="008948F7">
              <w:rPr>
                <w:sz w:val="22"/>
                <w:szCs w:val="22"/>
              </w:rPr>
              <w:t xml:space="preserve">, </w:t>
            </w:r>
            <w:r w:rsidR="008948F7" w:rsidRPr="008948F7">
              <w:rPr>
                <w:sz w:val="22"/>
                <w:szCs w:val="22"/>
              </w:rPr>
              <w:t xml:space="preserve"> prožívání</w:t>
            </w:r>
            <w:r w:rsidR="008948F7">
              <w:rPr>
                <w:sz w:val="22"/>
                <w:szCs w:val="22"/>
              </w:rPr>
              <w:t>, odlišnosti v komunikaci či v projevech chování</w:t>
            </w:r>
            <w:r w:rsidR="008948F7" w:rsidRPr="008948F7">
              <w:rPr>
                <w:sz w:val="22"/>
                <w:szCs w:val="22"/>
              </w:rPr>
              <w:t xml:space="preserve"> apod. </w:t>
            </w:r>
            <w:r w:rsidR="008948F7">
              <w:rPr>
                <w:sz w:val="22"/>
                <w:szCs w:val="22"/>
              </w:rPr>
              <w:t xml:space="preserve">Naproti tomu, </w:t>
            </w:r>
            <w:r w:rsidR="008948F7" w:rsidRPr="008948F7">
              <w:rPr>
                <w:sz w:val="22"/>
                <w:szCs w:val="22"/>
              </w:rPr>
              <w:t xml:space="preserve"> není zmíněna podpora skupiny potřeb na druhé straně chvostu – rozvojové potřeby týkající se často nadprůměrného intelektu či nadprůměrně bohaté </w:t>
            </w:r>
            <w:r w:rsidR="00117B22">
              <w:rPr>
                <w:sz w:val="22"/>
                <w:szCs w:val="22"/>
              </w:rPr>
              <w:t>(</w:t>
            </w:r>
            <w:r w:rsidR="00FF1137">
              <w:rPr>
                <w:sz w:val="22"/>
                <w:szCs w:val="22"/>
              </w:rPr>
              <w:t xml:space="preserve">byť </w:t>
            </w:r>
            <w:r w:rsidR="008948F7">
              <w:rPr>
                <w:sz w:val="22"/>
                <w:szCs w:val="22"/>
              </w:rPr>
              <w:t>pasivní</w:t>
            </w:r>
            <w:r w:rsidR="00117B22">
              <w:rPr>
                <w:sz w:val="22"/>
                <w:szCs w:val="22"/>
              </w:rPr>
              <w:t>)</w:t>
            </w:r>
            <w:r w:rsidR="008948F7">
              <w:rPr>
                <w:sz w:val="22"/>
                <w:szCs w:val="22"/>
              </w:rPr>
              <w:t xml:space="preserve"> slovní zásoby, </w:t>
            </w:r>
            <w:r w:rsidR="00117B22">
              <w:rPr>
                <w:sz w:val="22"/>
                <w:szCs w:val="22"/>
              </w:rPr>
              <w:t xml:space="preserve">výraznou </w:t>
            </w:r>
            <w:proofErr w:type="gramStart"/>
            <w:r w:rsidR="008948F7">
              <w:rPr>
                <w:sz w:val="22"/>
                <w:szCs w:val="22"/>
              </w:rPr>
              <w:t>profilac</w:t>
            </w:r>
            <w:r w:rsidR="00117B22">
              <w:rPr>
                <w:sz w:val="22"/>
                <w:szCs w:val="22"/>
              </w:rPr>
              <w:t>i</w:t>
            </w:r>
            <w:proofErr w:type="gramEnd"/>
            <w:r w:rsidR="008948F7">
              <w:rPr>
                <w:sz w:val="22"/>
                <w:szCs w:val="22"/>
              </w:rPr>
              <w:t xml:space="preserve"> zájmů apod.</w:t>
            </w:r>
          </w:p>
          <w:p w14:paraId="32002211" w14:textId="6FB4C651" w:rsidR="008948F7" w:rsidRPr="00B245CE" w:rsidRDefault="008948F7" w:rsidP="00DE078E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B245CE">
              <w:rPr>
                <w:sz w:val="22"/>
                <w:szCs w:val="22"/>
              </w:rPr>
              <w:t>Dílčí výzkumné cíle uvedené v </w:t>
            </w:r>
            <w:proofErr w:type="spellStart"/>
            <w:r w:rsidRPr="00B245CE">
              <w:rPr>
                <w:sz w:val="22"/>
                <w:szCs w:val="22"/>
              </w:rPr>
              <w:t>podkap</w:t>
            </w:r>
            <w:proofErr w:type="spellEnd"/>
            <w:r w:rsidRPr="00B245CE">
              <w:rPr>
                <w:sz w:val="22"/>
                <w:szCs w:val="22"/>
              </w:rPr>
              <w:t xml:space="preserve">. 3.1 </w:t>
            </w:r>
            <w:r w:rsidR="003A67E5" w:rsidRPr="00B245CE">
              <w:rPr>
                <w:sz w:val="22"/>
                <w:szCs w:val="22"/>
              </w:rPr>
              <w:t>ne</w:t>
            </w:r>
            <w:r w:rsidRPr="00B245CE">
              <w:rPr>
                <w:sz w:val="22"/>
                <w:szCs w:val="22"/>
              </w:rPr>
              <w:t xml:space="preserve">tíhnou </w:t>
            </w:r>
            <w:r w:rsidR="003A67E5" w:rsidRPr="00B245CE">
              <w:rPr>
                <w:sz w:val="22"/>
                <w:szCs w:val="22"/>
              </w:rPr>
              <w:t>jednoznačně k</w:t>
            </w:r>
            <w:r w:rsidRPr="00B245CE">
              <w:rPr>
                <w:sz w:val="22"/>
                <w:szCs w:val="22"/>
              </w:rPr>
              <w:t>e kva</w:t>
            </w:r>
            <w:r w:rsidR="003A67E5" w:rsidRPr="00B245CE">
              <w:rPr>
                <w:sz w:val="22"/>
                <w:szCs w:val="22"/>
              </w:rPr>
              <w:t>litativnímu výzkumnému šetření nebo k designu fenomenologie.</w:t>
            </w:r>
            <w:r w:rsidR="00B245CE" w:rsidRPr="00B245CE">
              <w:rPr>
                <w:sz w:val="22"/>
                <w:szCs w:val="22"/>
              </w:rPr>
              <w:t xml:space="preserve"> I v samotné analýze jsou témata (situace) spíše popisována, než popsána, jak je prožívají nebo interpretují sami </w:t>
            </w:r>
            <w:proofErr w:type="spellStart"/>
            <w:r w:rsidR="00B245CE" w:rsidRPr="00B245CE">
              <w:rPr>
                <w:sz w:val="22"/>
                <w:szCs w:val="22"/>
              </w:rPr>
              <w:t>informanté</w:t>
            </w:r>
            <w:proofErr w:type="spellEnd"/>
            <w:r w:rsidR="00B245CE" w:rsidRPr="00B245CE">
              <w:rPr>
                <w:sz w:val="22"/>
                <w:szCs w:val="22"/>
              </w:rPr>
              <w:t xml:space="preserve">. Taktéž vyjádření se k naplnění výzkumného cíle v pasáži </w:t>
            </w:r>
            <w:r w:rsidR="00B245CE" w:rsidRPr="00FF1137">
              <w:rPr>
                <w:sz w:val="22"/>
                <w:szCs w:val="22"/>
              </w:rPr>
              <w:t>5</w:t>
            </w:r>
            <w:r w:rsidR="00B245CE" w:rsidRPr="00117B22">
              <w:rPr>
                <w:i/>
                <w:sz w:val="22"/>
                <w:szCs w:val="22"/>
              </w:rPr>
              <w:t xml:space="preserve"> DISKUSE</w:t>
            </w:r>
            <w:r w:rsidR="00B245CE" w:rsidRPr="00B245CE">
              <w:rPr>
                <w:sz w:val="22"/>
                <w:szCs w:val="22"/>
              </w:rPr>
              <w:t xml:space="preserve"> (chybí nastavení</w:t>
            </w:r>
            <w:r w:rsidR="00117B22">
              <w:rPr>
                <w:sz w:val="22"/>
                <w:szCs w:val="22"/>
              </w:rPr>
              <w:t>,</w:t>
            </w:r>
            <w:r w:rsidR="00B245CE" w:rsidRPr="00B245CE">
              <w:rPr>
                <w:sz w:val="22"/>
                <w:szCs w:val="22"/>
              </w:rPr>
              <w:t xml:space="preserve"> </w:t>
            </w:r>
            <w:r w:rsidR="00117B22">
              <w:rPr>
                <w:sz w:val="22"/>
                <w:szCs w:val="22"/>
              </w:rPr>
              <w:t xml:space="preserve">tudíž i odpověď </w:t>
            </w:r>
            <w:r w:rsidR="00B245CE" w:rsidRPr="00B245CE">
              <w:rPr>
                <w:sz w:val="22"/>
                <w:szCs w:val="22"/>
              </w:rPr>
              <w:t xml:space="preserve">VO) tíhnou spíše k výčtu negativních situací, nebo k hodnocení konkrétních prvků (např. spolupráce), než k popisu hlubokého prožívání, přisuzování významů či interpretaci vlastní zkušenosti. </w:t>
            </w:r>
          </w:p>
          <w:p w14:paraId="0E0C150B" w14:textId="6C8AC0B1" w:rsidR="003A67E5" w:rsidRDefault="003A67E5" w:rsidP="00B91FBD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práci tohoto druhu (DP) nejsou třeba </w:t>
            </w:r>
            <w:r w:rsidR="005A71D1">
              <w:rPr>
                <w:sz w:val="22"/>
                <w:szCs w:val="22"/>
              </w:rPr>
              <w:t xml:space="preserve">delší </w:t>
            </w:r>
            <w:r>
              <w:rPr>
                <w:sz w:val="22"/>
                <w:szCs w:val="22"/>
              </w:rPr>
              <w:t xml:space="preserve">pasáže citací </w:t>
            </w:r>
            <w:r w:rsidR="005A71D1">
              <w:rPr>
                <w:sz w:val="22"/>
                <w:szCs w:val="22"/>
              </w:rPr>
              <w:t xml:space="preserve">nebo parafrází </w:t>
            </w:r>
            <w:r>
              <w:rPr>
                <w:sz w:val="22"/>
                <w:szCs w:val="22"/>
              </w:rPr>
              <w:t>z metodologické literatury</w:t>
            </w:r>
            <w:r w:rsidR="005A71D1">
              <w:rPr>
                <w:sz w:val="22"/>
                <w:szCs w:val="22"/>
              </w:rPr>
              <w:t xml:space="preserve"> (s. 49-50)</w:t>
            </w:r>
            <w:r w:rsidR="00117B22">
              <w:rPr>
                <w:sz w:val="22"/>
                <w:szCs w:val="22"/>
              </w:rPr>
              <w:t>, n</w:t>
            </w:r>
            <w:r w:rsidR="005A71D1">
              <w:rPr>
                <w:sz w:val="22"/>
                <w:szCs w:val="22"/>
              </w:rPr>
              <w:t xml:space="preserve">aproti tomu </w:t>
            </w:r>
            <w:r w:rsidR="00D82E8E">
              <w:rPr>
                <w:sz w:val="22"/>
                <w:szCs w:val="22"/>
              </w:rPr>
              <w:t xml:space="preserve">je na místě </w:t>
            </w:r>
            <w:r w:rsidR="005A71D1">
              <w:rPr>
                <w:sz w:val="22"/>
                <w:szCs w:val="22"/>
              </w:rPr>
              <w:t>spíše obhajoba užité metodologické strategie.</w:t>
            </w:r>
          </w:p>
          <w:p w14:paraId="0BD1B282" w14:textId="77777777"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01AE0821" w14:textId="77777777" w:rsidTr="00C50B27">
        <w:tc>
          <w:tcPr>
            <w:tcW w:w="9828" w:type="dxa"/>
            <w:gridSpan w:val="9"/>
          </w:tcPr>
          <w:p w14:paraId="258422FE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6764C966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  <w:p w14:paraId="208F492A" w14:textId="45CB04C6" w:rsidR="00B411DB" w:rsidRPr="00C50B27" w:rsidRDefault="00B245C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 w:rsidR="00117B22">
              <w:rPr>
                <w:sz w:val="22"/>
                <w:szCs w:val="22"/>
              </w:rPr>
              <w:t xml:space="preserve">V analýze dat jsou popsány především negativní zkušenosti rodičů se vzděláváním svých potomků s AS. Byly přítomny ve výpovědích </w:t>
            </w:r>
            <w:r w:rsidR="00633A95">
              <w:rPr>
                <w:sz w:val="22"/>
                <w:szCs w:val="22"/>
              </w:rPr>
              <w:t xml:space="preserve">participantů </w:t>
            </w:r>
            <w:r w:rsidR="00117B22">
              <w:rPr>
                <w:sz w:val="22"/>
                <w:szCs w:val="22"/>
              </w:rPr>
              <w:t>i „pozitivní“ zkušenosti nebo dokonce příklady dobré praxe? Jaké?</w:t>
            </w:r>
          </w:p>
          <w:p w14:paraId="582E4230" w14:textId="1F58C493"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14:paraId="52C8A76F" w14:textId="77777777" w:rsidTr="00C50B27">
        <w:tc>
          <w:tcPr>
            <w:tcW w:w="6791" w:type="dxa"/>
            <w:gridSpan w:val="3"/>
          </w:tcPr>
          <w:p w14:paraId="0C7A818E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52C8D477" w14:textId="37D46CD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7D8BCCAF" w14:textId="710CA89C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773842F7" w14:textId="6C6D946A" w:rsidR="00B411DB" w:rsidRPr="00C50B27" w:rsidRDefault="00117B2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14:paraId="446E056D" w14:textId="46D42B13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4BD2FEA3" w14:textId="35DBA84C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787F9D76" w14:textId="332BE422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4D5C0D4" w14:textId="77777777" w:rsidTr="00C50B27">
        <w:tc>
          <w:tcPr>
            <w:tcW w:w="4068" w:type="dxa"/>
            <w:gridSpan w:val="2"/>
            <w:vAlign w:val="center"/>
          </w:tcPr>
          <w:p w14:paraId="76CC38FE" w14:textId="4336AD5F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B245CE">
              <w:rPr>
                <w:sz w:val="22"/>
                <w:szCs w:val="22"/>
              </w:rPr>
              <w:t xml:space="preserve"> </w:t>
            </w:r>
            <w:r w:rsidR="00633A95">
              <w:rPr>
                <w:sz w:val="22"/>
                <w:szCs w:val="22"/>
              </w:rPr>
              <w:t>2. 5. 2025</w:t>
            </w:r>
          </w:p>
        </w:tc>
        <w:tc>
          <w:tcPr>
            <w:tcW w:w="5760" w:type="dxa"/>
            <w:gridSpan w:val="7"/>
            <w:vAlign w:val="center"/>
          </w:tcPr>
          <w:p w14:paraId="13B36927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4D0135">
              <w:rPr>
                <w:sz w:val="22"/>
                <w:szCs w:val="22"/>
              </w:rPr>
              <w:t xml:space="preserve"> Iva Staňková</w:t>
            </w:r>
          </w:p>
        </w:tc>
      </w:tr>
    </w:tbl>
    <w:p w14:paraId="77535FAD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5554B4" w14:textId="77777777" w:rsidR="004D0135" w:rsidRDefault="004D0135">
      <w:r>
        <w:separator/>
      </w:r>
    </w:p>
  </w:endnote>
  <w:endnote w:type="continuationSeparator" w:id="0">
    <w:p w14:paraId="57B7D416" w14:textId="77777777" w:rsidR="004D0135" w:rsidRDefault="004D0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BD42B2" w14:textId="77777777" w:rsidR="004D0135" w:rsidRDefault="004D0135">
      <w:r>
        <w:separator/>
      </w:r>
    </w:p>
  </w:footnote>
  <w:footnote w:type="continuationSeparator" w:id="0">
    <w:p w14:paraId="1E9E8771" w14:textId="77777777" w:rsidR="004D0135" w:rsidRDefault="004D0135">
      <w:r>
        <w:continuationSeparator/>
      </w:r>
    </w:p>
  </w:footnote>
  <w:footnote w:id="1">
    <w:p w14:paraId="104B24F9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D83F03"/>
    <w:multiLevelType w:val="hybridMultilevel"/>
    <w:tmpl w:val="089456F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135"/>
    <w:rsid w:val="00117B22"/>
    <w:rsid w:val="00362AB0"/>
    <w:rsid w:val="003A67E5"/>
    <w:rsid w:val="003F5DA2"/>
    <w:rsid w:val="004D0135"/>
    <w:rsid w:val="00512982"/>
    <w:rsid w:val="00526D47"/>
    <w:rsid w:val="0055255D"/>
    <w:rsid w:val="005A71D1"/>
    <w:rsid w:val="005B1E64"/>
    <w:rsid w:val="005C219A"/>
    <w:rsid w:val="00633A95"/>
    <w:rsid w:val="006847E2"/>
    <w:rsid w:val="008614B3"/>
    <w:rsid w:val="008948F7"/>
    <w:rsid w:val="009B2248"/>
    <w:rsid w:val="00AF1740"/>
    <w:rsid w:val="00B02A88"/>
    <w:rsid w:val="00B245CE"/>
    <w:rsid w:val="00B411DB"/>
    <w:rsid w:val="00B91FBD"/>
    <w:rsid w:val="00BA3203"/>
    <w:rsid w:val="00C50B27"/>
    <w:rsid w:val="00CE0A8B"/>
    <w:rsid w:val="00CE4377"/>
    <w:rsid w:val="00D529A3"/>
    <w:rsid w:val="00D82E8E"/>
    <w:rsid w:val="00DC1BF5"/>
    <w:rsid w:val="00E67C85"/>
    <w:rsid w:val="00E709EA"/>
    <w:rsid w:val="00F1326B"/>
    <w:rsid w:val="00FF1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B5EFC6"/>
  <w15:chartTrackingRefBased/>
  <w15:docId w15:val="{6093F081-0882-4979-BE7F-9AFA16FB5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5B1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05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tankova\OneDrive%20-%20Univerzita%20Tom&#225;&#353;e%20Bati%20ve%20Zl&#237;n&#283;\BP-DP\Posudky%202025\DP\Oponov&#225;n&#237;\POSUDEK%20OPONENTA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3095c195acf6b96a6fad94319cd3af5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480b1c44dc33635a5d8a144277c3c1b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Props1.xml><?xml version="1.0" encoding="utf-8"?>
<ds:datastoreItem xmlns:ds="http://schemas.openxmlformats.org/officeDocument/2006/customXml" ds:itemID="{BE3497A0-25B1-4709-807B-91E60289C7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99A971-EA9D-425E-BC43-80B414453B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9CA7DA-F368-4420-9088-05E21A5DF115}">
  <ds:schemaRefs>
    <ds:schemaRef ds:uri="http://purl.org/dc/terms/"/>
    <ds:schemaRef ds:uri="http://schemas.openxmlformats.org/package/2006/metadata/core-properties"/>
    <ds:schemaRef ds:uri="b2760fc6-0594-407e-87c6-5506db99eec0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3e70ad48-2dbb-4840-854d-17419981058e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</Template>
  <TotalTime>96</TotalTime>
  <Pages>2</Pages>
  <Words>489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Iva Staňková</dc:creator>
  <cp:keywords/>
  <cp:lastModifiedBy>Iva Staňková</cp:lastModifiedBy>
  <cp:revision>6</cp:revision>
  <cp:lastPrinted>2012-04-25T08:21:00Z</cp:lastPrinted>
  <dcterms:created xsi:type="dcterms:W3CDTF">2025-04-28T07:21:00Z</dcterms:created>
  <dcterms:modified xsi:type="dcterms:W3CDTF">2025-05-12T11:31:00Z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