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7D2E3E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D6B2C" w:rsidRPr="005D6B2C">
        <w:rPr>
          <w:rFonts w:asciiTheme="minorHAnsi" w:hAnsiTheme="minorHAnsi" w:cstheme="minorHAnsi"/>
          <w:sz w:val="22"/>
          <w:szCs w:val="22"/>
        </w:rPr>
        <w:t>Lukáš Szczepaňski</w:t>
      </w:r>
    </w:p>
    <w:p w14:paraId="01DAD7B2" w14:textId="4387B2C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D6B2C">
        <w:rPr>
          <w:rFonts w:asciiTheme="minorHAnsi" w:hAnsiTheme="minorHAnsi" w:cstheme="minorHAnsi"/>
          <w:sz w:val="22"/>
          <w:szCs w:val="22"/>
        </w:rPr>
        <w:t>Vojtěch Sadil</w:t>
      </w:r>
    </w:p>
    <w:p w14:paraId="43917A2A" w14:textId="0D660EF0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D6B2C" w:rsidRPr="005D6B2C">
        <w:rPr>
          <w:rFonts w:cstheme="minorHAnsi"/>
        </w:rPr>
        <w:t>Finanční gramotnost profesionálních sportovců</w:t>
      </w:r>
    </w:p>
    <w:p w14:paraId="3F08876F" w14:textId="52F1B9B9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D6B2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5D6B2C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1B82818" w:rsidR="000E094A" w:rsidRDefault="004F666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10E6D1BA" w:rsidR="000E094A" w:rsidRPr="000E094A" w:rsidRDefault="0075420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Hlavní cíl práce je zřejmý, avšak mohl být přesněji formulován. </w:t>
            </w:r>
            <w:r w:rsidR="004F6666">
              <w:rPr>
                <w:rFonts w:cstheme="minorHAnsi"/>
              </w:rPr>
              <w:t>Stejně tak mohly být popsány i dílčí cíle práce. Jednotlivé metody zpracování jsou vhodně představeny v příslušné kapitole. Autor zvolil adekvátní metody, které jsou vhodné pro dosažení hlavního cíle. Cíle a metody práce jsou také v souladu s tématem i zásadami.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93C38AF" w:rsidR="000E094A" w:rsidRDefault="00AD5E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07D9E47F" w:rsidR="000E094A" w:rsidRPr="000E094A" w:rsidRDefault="00AD5E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svým obsahem v souladu s tématem i hlavním cílem bakalářské práce. Autor ve třech kapitolách představuje podstatu finanční gramotnosti s ohledem na její specifika v případě aktivních sportovců. Rozsah </w:t>
            </w:r>
            <w:r w:rsidR="00C05C61">
              <w:rPr>
                <w:rFonts w:cstheme="minorHAnsi"/>
              </w:rPr>
              <w:t>teoretické části</w:t>
            </w:r>
            <w:r>
              <w:rPr>
                <w:rFonts w:cstheme="minorHAnsi"/>
              </w:rPr>
              <w:t xml:space="preserve"> je přiměřený a autor využívá přijatelné množství především domácích literárních zdrojů. Lze si představit obohacení teoretické části o výsledky výzkumných studií, výstupů z odborných </w:t>
            </w:r>
            <w:proofErr w:type="spellStart"/>
            <w:r>
              <w:rPr>
                <w:rFonts w:cstheme="minorHAnsi"/>
              </w:rPr>
              <w:t>journalů</w:t>
            </w:r>
            <w:proofErr w:type="spellEnd"/>
            <w:r>
              <w:rPr>
                <w:rFonts w:cstheme="minorHAnsi"/>
              </w:rPr>
              <w:t xml:space="preserve"> či zahraničních zdrojů, především v kap. 2 a 3. Současně by teoretická část mohla být místy více kritická. Autor cituje adekvátním způsobem.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679C37C" w:rsidR="000E094A" w:rsidRDefault="00D850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25B947EE" w:rsidR="000E094A" w:rsidRPr="000E094A" w:rsidRDefault="00AD5E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Analytickou část zastupuje analýza výsledků dotazníkového šetření. Autor využívá základní prvky popisné statistiky a jednotlivé odpovědi jsou přiměřeně interpretovány. Zjištěné poznatky mohly být diskutovány s poznatky z teoretické části</w:t>
            </w:r>
            <w:r w:rsidR="00D8507E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Návaznost na teoretickou část je zde zřejmá. Jednotlivé metody byly vhodně aplikovány a prezentace získaných výsledků je přehledná a srozumitelná.</w:t>
            </w:r>
            <w:r w:rsidR="00C05C61">
              <w:rPr>
                <w:rFonts w:cstheme="minorHAnsi"/>
              </w:rPr>
              <w:t xml:space="preserve"> Autor také využívá metody statistické analýzy, které představují vhodný doplněk pro analytickou i výzkumnou část.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03D6452" w:rsidR="000E094A" w:rsidRDefault="00F64F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8C28BC0" w:rsidR="000E094A" w:rsidRPr="000E094A" w:rsidRDefault="00C05C6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/ výzkumná část zahrnuje návrh dotazníku (postup, cíle, návrh a distribuce). Pro účely BP je tento popis výzkumu dostatečný. </w:t>
            </w:r>
            <w:r w:rsidR="00F64FBB">
              <w:rPr>
                <w:rFonts w:cstheme="minorHAnsi"/>
              </w:rPr>
              <w:t xml:space="preserve">Dotazník obsahuje celkem 33 otázek, což umožní autorovi získat širší přehled v mnoha oblastech finanční gramotnosti respondentů. </w:t>
            </w:r>
            <w:r>
              <w:rPr>
                <w:rFonts w:cstheme="minorHAnsi"/>
              </w:rPr>
              <w:t>Autor se v</w:t>
            </w:r>
            <w:r w:rsidR="00F64FBB">
              <w:rPr>
                <w:rFonts w:cstheme="minorHAnsi"/>
              </w:rPr>
              <w:t> kapitole 6</w:t>
            </w:r>
            <w:r>
              <w:rPr>
                <w:rFonts w:cstheme="minorHAnsi"/>
              </w:rPr>
              <w:t xml:space="preserve"> zabývá také testováním statistických hypotéz. Uvedený postup</w:t>
            </w:r>
            <w:r w:rsidR="00F64FBB">
              <w:rPr>
                <w:rFonts w:cstheme="minorHAnsi"/>
              </w:rPr>
              <w:t xml:space="preserve"> při testování hypotéz</w:t>
            </w:r>
            <w:r>
              <w:rPr>
                <w:rFonts w:cstheme="minorHAnsi"/>
              </w:rPr>
              <w:t xml:space="preserve"> je dostatečně popsán a autor </w:t>
            </w:r>
            <w:r w:rsidR="00F64FBB">
              <w:rPr>
                <w:rFonts w:cstheme="minorHAnsi"/>
              </w:rPr>
              <w:t>zde prezentuje své výzkumné poznatky. Získané výsledky mohly být diskutovány s poznatky teoretické částí nebo výstupy, které vychází z jiných vědeckých studií. Návrhy na zlepšení (včetně omezení výzkumu) jsou uvedeny v kapitole 7. Zhodnocení jednotlivých návrhů (např. možnost jejich proveditelnosti) zde chybí.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06A234F" w:rsidR="000E094A" w:rsidRDefault="002C42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DA45215" w:rsidR="000E094A" w:rsidRPr="000E094A" w:rsidRDefault="00F64F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úroveň vykazuje různé menší nepřesnosti. Drobné nedostatky lze nalézt u formátování, popisů grafů a tabulek, zápisů vzorců (str. 62). </w:t>
            </w:r>
            <w:r w:rsidR="002C42AA">
              <w:rPr>
                <w:rFonts w:cstheme="minorHAnsi"/>
              </w:rPr>
              <w:t xml:space="preserve">Další výhradu mám k názvům jednotlivých kapitol a podkapitol, v některých případech může být jejich název matoucí nebo neodpovídající (např. 6.2.2). </w:t>
            </w:r>
            <w:r>
              <w:rPr>
                <w:rFonts w:cstheme="minorHAnsi"/>
              </w:rPr>
              <w:t xml:space="preserve">Text vykazuje logickou provázanost a autor využívá správnou terminologii. Citace splňují požadovanou normu. </w:t>
            </w:r>
            <w:r w:rsidR="002C42AA">
              <w:rPr>
                <w:rFonts w:cstheme="minorHAnsi"/>
              </w:rPr>
              <w:t>Jazyková a grafická úroveň je přijatelná.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C2D100B" w:rsidR="009C7318" w:rsidRDefault="002C42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D8507E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Default="009D67D5" w:rsidP="00D850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6A5AA7D" w14:textId="0CB6048F" w:rsidR="002C42AA" w:rsidRPr="000E094A" w:rsidRDefault="002C42AA" w:rsidP="00D850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Bakalářskou práci doporučuji k obhajobě se známkou C. Významnější výhrady lze uvést k praktické / výzkumné části, především k absenci diskuse poznatků a chybějícímu zhodnocení jednotlivých návrhů na zlepšení finanční gramotnosti sportovců. </w:t>
            </w:r>
          </w:p>
          <w:p w14:paraId="70DED920" w14:textId="77777777" w:rsidR="009D67D5" w:rsidRPr="000E094A" w:rsidRDefault="009D67D5" w:rsidP="00D850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55DA52BC" w14:textId="77BE614F" w:rsidR="005C4ACA" w:rsidRPr="006620ED" w:rsidRDefault="002C42AA" w:rsidP="006620ED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Na str. 62 je uveden</w:t>
      </w:r>
      <w:r w:rsidR="006620ED">
        <w:rPr>
          <w:rFonts w:cstheme="minorHAnsi"/>
        </w:rPr>
        <w:t>o mimořádně zajímavé zjištění</w:t>
      </w:r>
      <w:r>
        <w:rPr>
          <w:rFonts w:cstheme="minorHAnsi"/>
        </w:rPr>
        <w:t>: …</w:t>
      </w:r>
      <w:r w:rsidRPr="002C42AA">
        <w:rPr>
          <w:rFonts w:cstheme="minorHAnsi"/>
        </w:rPr>
        <w:t xml:space="preserve"> </w:t>
      </w:r>
      <w:r>
        <w:rPr>
          <w:rFonts w:cstheme="minorHAnsi"/>
        </w:rPr>
        <w:t>„</w:t>
      </w:r>
      <w:r w:rsidRPr="002C42AA">
        <w:rPr>
          <w:rFonts w:cstheme="minorHAnsi"/>
        </w:rPr>
        <w:t>mezi výší příjmů a výší finanční gramotností nebyla prokázána statisticky významná závislost</w:t>
      </w:r>
      <w:r>
        <w:rPr>
          <w:rFonts w:cstheme="minorHAnsi"/>
        </w:rPr>
        <w:t>“.</w:t>
      </w:r>
      <w:r w:rsidR="006620ED">
        <w:rPr>
          <w:rFonts w:cstheme="minorHAnsi"/>
        </w:rPr>
        <w:t xml:space="preserve"> </w:t>
      </w:r>
      <w:r>
        <w:rPr>
          <w:rFonts w:cstheme="minorHAnsi"/>
        </w:rPr>
        <w:t xml:space="preserve">Je možné tento závěr interpretovat tak, </w:t>
      </w:r>
      <w:r w:rsidR="006620ED">
        <w:rPr>
          <w:rFonts w:cstheme="minorHAnsi"/>
        </w:rPr>
        <w:t xml:space="preserve">že finanční problémy vyplývají spíše z nedostatečných příjmů než z nedostatečných finančních kompetencí? Jinými slovy, finanční chyby </w:t>
      </w:r>
      <w:proofErr w:type="spellStart"/>
      <w:r w:rsidR="006620ED">
        <w:rPr>
          <w:rFonts w:cstheme="minorHAnsi"/>
        </w:rPr>
        <w:t>vysokopříjmových</w:t>
      </w:r>
      <w:proofErr w:type="spellEnd"/>
      <w:r w:rsidR="006620ED">
        <w:rPr>
          <w:rFonts w:cstheme="minorHAnsi"/>
        </w:rPr>
        <w:t xml:space="preserve"> skupin zůstanou „skryty“, a tudíž lze získat klamný pocit, že finančně negramotní jsou pouze chudší lidé, kteří např. spadli do dluhových pastí? Jak byste toto zjištění interpretoval vy osobně?</w:t>
      </w:r>
    </w:p>
    <w:p w14:paraId="5C89816B" w14:textId="77777777" w:rsidR="0024258E" w:rsidRPr="002C42AA" w:rsidRDefault="0024258E" w:rsidP="002C42AA">
      <w:pPr>
        <w:spacing w:after="120" w:line="240" w:lineRule="auto"/>
        <w:ind w:left="357"/>
        <w:jc w:val="both"/>
        <w:rPr>
          <w:rFonts w:cstheme="minorHAnsi"/>
        </w:rPr>
      </w:pPr>
    </w:p>
    <w:p w14:paraId="4E3072FA" w14:textId="49FD87D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D6B2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D6B2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4236C6F3" w14:textId="445CD499" w:rsidR="009C7318" w:rsidRDefault="009C7318" w:rsidP="006620ED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5D6B2C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61C6ACF4" w14:textId="7183F363" w:rsidR="0024258E" w:rsidRDefault="005D6B2C" w:rsidP="002C42AA">
      <w:pPr>
        <w:tabs>
          <w:tab w:val="left" w:pos="1995"/>
        </w:tabs>
        <w:jc w:val="both"/>
        <w:rPr>
          <w:rFonts w:cstheme="minorHAnsi"/>
        </w:rPr>
      </w:pPr>
      <w:r>
        <w:rPr>
          <w:rFonts w:cstheme="minorHAnsi"/>
        </w:rPr>
        <w:tab/>
      </w:r>
    </w:p>
    <w:p w14:paraId="3C1CAAE4" w14:textId="6AB8F19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C42AA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988F65" w14:textId="77777777" w:rsidR="004E3FE3" w:rsidRDefault="004E3FE3" w:rsidP="00A40E93">
      <w:pPr>
        <w:spacing w:after="0" w:line="240" w:lineRule="auto"/>
      </w:pPr>
      <w:r>
        <w:separator/>
      </w:r>
    </w:p>
  </w:endnote>
  <w:endnote w:type="continuationSeparator" w:id="0">
    <w:p w14:paraId="28BC57DF" w14:textId="77777777" w:rsidR="004E3FE3" w:rsidRDefault="004E3FE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D2697" w14:textId="77777777" w:rsidR="004E3FE3" w:rsidRDefault="004E3FE3" w:rsidP="00A40E93">
      <w:pPr>
        <w:spacing w:after="0" w:line="240" w:lineRule="auto"/>
      </w:pPr>
      <w:r>
        <w:separator/>
      </w:r>
    </w:p>
  </w:footnote>
  <w:footnote w:type="continuationSeparator" w:id="0">
    <w:p w14:paraId="74B4D2C4" w14:textId="77777777" w:rsidR="004E3FE3" w:rsidRDefault="004E3FE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1E5010"/>
    <w:rsid w:val="0024258E"/>
    <w:rsid w:val="00244BD8"/>
    <w:rsid w:val="0029651C"/>
    <w:rsid w:val="002C42AA"/>
    <w:rsid w:val="004D378C"/>
    <w:rsid w:val="004E3FE3"/>
    <w:rsid w:val="004F6666"/>
    <w:rsid w:val="005A279D"/>
    <w:rsid w:val="005C4ACA"/>
    <w:rsid w:val="005D6B2C"/>
    <w:rsid w:val="00660916"/>
    <w:rsid w:val="006620ED"/>
    <w:rsid w:val="0067082B"/>
    <w:rsid w:val="00694399"/>
    <w:rsid w:val="0073639B"/>
    <w:rsid w:val="0075420B"/>
    <w:rsid w:val="007553A6"/>
    <w:rsid w:val="00791E03"/>
    <w:rsid w:val="0085398A"/>
    <w:rsid w:val="008B781B"/>
    <w:rsid w:val="008D3D5E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AD5EC7"/>
    <w:rsid w:val="00B14451"/>
    <w:rsid w:val="00BA16DD"/>
    <w:rsid w:val="00BE0CF7"/>
    <w:rsid w:val="00C05C61"/>
    <w:rsid w:val="00CA34A9"/>
    <w:rsid w:val="00CD12C3"/>
    <w:rsid w:val="00D8507E"/>
    <w:rsid w:val="00D90835"/>
    <w:rsid w:val="00DC7D52"/>
    <w:rsid w:val="00E22423"/>
    <w:rsid w:val="00EC7EED"/>
    <w:rsid w:val="00EF1720"/>
    <w:rsid w:val="00F64FBB"/>
    <w:rsid w:val="00F92059"/>
    <w:rsid w:val="00FC2852"/>
    <w:rsid w:val="00FD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866B9169-0BDB-4038-A82D-B4DC2AE62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244BD8"/>
    <w:rsid w:val="004E2E01"/>
    <w:rsid w:val="00510546"/>
    <w:rsid w:val="00594CC3"/>
    <w:rsid w:val="005A279D"/>
    <w:rsid w:val="005E083B"/>
    <w:rsid w:val="0083466B"/>
    <w:rsid w:val="00A00291"/>
    <w:rsid w:val="00B82FAC"/>
    <w:rsid w:val="00BE0CF7"/>
    <w:rsid w:val="00BF2549"/>
    <w:rsid w:val="00DF4309"/>
    <w:rsid w:val="00F2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DBC9D5-BF33-4E4E-9FE7-4B14EB884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825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2025-05-28T12:07:00Z</dcterms:created>
  <dcterms:modified xsi:type="dcterms:W3CDTF">2025-05-28T12:07:00Z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