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1AF85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7682A">
        <w:rPr>
          <w:rFonts w:asciiTheme="minorHAnsi" w:hAnsiTheme="minorHAnsi" w:cstheme="minorHAnsi"/>
          <w:sz w:val="22"/>
          <w:szCs w:val="22"/>
        </w:rPr>
        <w:t xml:space="preserve">Bc. Dan </w:t>
      </w:r>
      <w:proofErr w:type="spellStart"/>
      <w:r w:rsidR="0027682A">
        <w:rPr>
          <w:rFonts w:asciiTheme="minorHAnsi" w:hAnsiTheme="minorHAnsi" w:cstheme="minorHAnsi"/>
          <w:sz w:val="22"/>
          <w:szCs w:val="22"/>
        </w:rPr>
        <w:t>Šmajstrla</w:t>
      </w:r>
      <w:proofErr w:type="spellEnd"/>
    </w:p>
    <w:p w14:paraId="00D6BB86" w14:textId="12303D4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6601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39B9B5A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7682A">
        <w:t>Projekt založení Alzheimer centra</w:t>
      </w:r>
    </w:p>
    <w:p w14:paraId="35028D0F" w14:textId="3AEFAB6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660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549E2B" w:rsidR="000E094A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366601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804A3" w14:textId="0BD8A5ED" w:rsidR="008B781B" w:rsidRPr="00366601" w:rsidRDefault="0027682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 xml:space="preserve">Cíl práce – vytvořit podnikatelský plán pro nové Alzheimer centrum v Moravskoslezském kraji – je </w:t>
            </w:r>
            <w:r>
              <w:rPr>
                <w:rStyle w:val="Strong"/>
              </w:rPr>
              <w:t>velmi ambiciózní</w:t>
            </w:r>
            <w:r>
              <w:t xml:space="preserve">, přesto zcela srozumitelně definovaný a naplněný. Autor zvolil kombinaci metod včetně demografické predikce, PESTLE a </w:t>
            </w:r>
            <w:proofErr w:type="spellStart"/>
            <w:r>
              <w:t>Porterovy</w:t>
            </w:r>
            <w:proofErr w:type="spellEnd"/>
            <w:r>
              <w:t xml:space="preserve"> analýzy, STP modelu, finančního modelování, řízení rizik a projektového harmonogramu. Všechny metody jsou správně aplikovány a podložené relevantními daty</w:t>
            </w:r>
            <w:r>
              <w:t>.</w:t>
            </w:r>
          </w:p>
          <w:p w14:paraId="7ED3E311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D83F73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6E638AB1" w:rsidR="000E094A" w:rsidRPr="00366601" w:rsidRDefault="0027682A" w:rsidP="005631D6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Teoretická část podává ucelený přehled o problematice Alzheimerovy choroby, legislativních rámcích a podnikání v oblasti sociálních a zdravotních služeb. Text je psán odborným jazykem, citace jsou přesné a argumentace věcná. Autor vhodně propojuje teoretická východiska s očekávanými výstupy v části praktické.</w:t>
            </w:r>
          </w:p>
        </w:tc>
      </w:tr>
      <w:tr w:rsidR="000E094A" w:rsidRPr="00366601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3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0B15400" w:rsidR="000E094A" w:rsidRPr="00366601" w:rsidRDefault="002768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2B698129" w:rsidR="000E094A" w:rsidRPr="00366601" w:rsidRDefault="0027682A" w:rsidP="0027682A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 xml:space="preserve">Analytická část nabízí velmi dobře zpracovanou </w:t>
            </w:r>
            <w:r w:rsidRPr="002037DA">
              <w:rPr>
                <w:rStyle w:val="Strong"/>
                <w:b w:val="0"/>
              </w:rPr>
              <w:t>demografickou analýzu</w:t>
            </w:r>
            <w:r>
              <w:t xml:space="preserve"> vývoje počtu pacientů s Alzheimerovou chorobou, prognózu potřebnosti péče</w:t>
            </w:r>
            <w:r w:rsidR="002037DA">
              <w:t>,</w:t>
            </w:r>
            <w:r>
              <w:t xml:space="preserve"> detailní analýzu konkurence v kraji včetně přehledu existujících zařízení, a rozbor neuspokojených žádostí o služby. Využití PESTLE a </w:t>
            </w:r>
            <w:proofErr w:type="spellStart"/>
            <w:r>
              <w:t>Porterovy</w:t>
            </w:r>
            <w:proofErr w:type="spellEnd"/>
            <w:r>
              <w:t xml:space="preserve"> analýzy je nadstandardní, výsledky jsou interpretovány a promítnuty do návrhové části.</w:t>
            </w:r>
          </w:p>
        </w:tc>
      </w:tr>
    </w:tbl>
    <w:p w14:paraId="530A7CCA" w14:textId="77777777" w:rsidR="0073639B" w:rsidRPr="00366601" w:rsidRDefault="0073639B">
      <w:pPr>
        <w:rPr>
          <w:rFonts w:cstheme="minorHAnsi"/>
          <w:sz w:val="24"/>
          <w:szCs w:val="24"/>
        </w:rPr>
      </w:pPr>
      <w:r w:rsidRPr="00366601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66601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366601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366601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0880C1" w:rsidR="000E094A" w:rsidRPr="00366601" w:rsidRDefault="002768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787EA950" w:rsidR="005631D6" w:rsidRPr="002037DA" w:rsidRDefault="002037DA" w:rsidP="002037DA">
            <w:pPr>
              <w:pStyle w:val="NormalWeb"/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</w:pPr>
            <w:r w:rsidRPr="002037DA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 xml:space="preserve">Projektová část je </w:t>
            </w:r>
            <w:r w:rsidRPr="002037DA">
              <w:rPr>
                <w:rFonts w:asciiTheme="minorHAnsi" w:eastAsiaTheme="minorHAnsi" w:hAnsiTheme="minorHAnsi" w:cstheme="minorBidi"/>
                <w:bCs/>
                <w:sz w:val="22"/>
                <w:szCs w:val="22"/>
                <w:lang w:val="cs-CZ"/>
              </w:rPr>
              <w:t>komplexní a realistická</w:t>
            </w:r>
            <w:r w:rsidRPr="002037DA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 xml:space="preserve">. Obsahuje návrh kapacity, organizační struktury, personálního zajištění, provozního režimu, marketingového plánu, rozpočtu vstupních investic a provozních nákladů. </w:t>
            </w:r>
            <w:r w:rsidRPr="002037DA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Finanční část je nadstandartní,</w:t>
            </w:r>
            <w:r w:rsidRPr="002037DA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 xml:space="preserve"> vycházejí z reálných předpokladů a simulují více scénářů. </w:t>
            </w:r>
          </w:p>
        </w:tc>
      </w:tr>
      <w:tr w:rsidR="000E094A" w:rsidRPr="00366601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0B2EAE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43B6C270" w:rsidR="000E094A" w:rsidRPr="002037DA" w:rsidRDefault="002037DA" w:rsidP="00CD12C3">
            <w:pPr>
              <w:tabs>
                <w:tab w:val="right" w:pos="8789"/>
              </w:tabs>
              <w:jc w:val="both"/>
            </w:pPr>
            <w:r w:rsidRPr="002037DA">
              <w:t xml:space="preserve">Po formální stránce je práce v pořádku. </w:t>
            </w:r>
          </w:p>
          <w:p w14:paraId="1CBFD39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366601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66601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366601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366601">
              <w:rPr>
                <w:rFonts w:cstheme="minorHAnsi"/>
                <w:b/>
              </w:rPr>
              <w:t>Závěrečné</w:t>
            </w:r>
            <w:r w:rsidR="009C7318" w:rsidRPr="00366601">
              <w:rPr>
                <w:rFonts w:cstheme="minorHAnsi"/>
                <w:b/>
              </w:rPr>
              <w:t xml:space="preserve"> hodnocení </w:t>
            </w:r>
            <w:r w:rsidR="00144F5B" w:rsidRPr="00366601">
              <w:rPr>
                <w:rFonts w:cstheme="minorHAnsi"/>
                <w:b/>
              </w:rPr>
              <w:t>D</w:t>
            </w:r>
            <w:r w:rsidR="009C7318" w:rsidRPr="00366601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0E49C3" w:rsidR="009C7318" w:rsidRPr="00366601" w:rsidRDefault="002768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366601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9C932DD" w:rsidR="00386EEB" w:rsidRPr="00366601" w:rsidRDefault="002037D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Diplomová práce představuje </w:t>
            </w:r>
            <w:r>
              <w:rPr>
                <w:rStyle w:val="Strong"/>
              </w:rPr>
              <w:t>vysoce kvalitní projekt</w:t>
            </w:r>
            <w:r>
              <w:t xml:space="preserve">, který prokazuje nejen schopnosti autora v oblasti odborné analýzy, projektového a finančního plánování, ale také citlivé vnímání společenského přínosu služby. Práce má </w:t>
            </w:r>
            <w:r>
              <w:rPr>
                <w:rStyle w:val="Strong"/>
              </w:rPr>
              <w:t>vysoký aplikační potenciál</w:t>
            </w:r>
            <w:r>
              <w:t>, je komplexní, odborná a profesionálně zpracovaná. Doporučuji ji k obhajobě s nejvyšším možným hodnocením</w:t>
            </w:r>
            <w:r>
              <w:t xml:space="preserve"> A.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5B106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6660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6660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26EAB8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66601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4CFAC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66601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86770"/>
    <w:multiLevelType w:val="multilevel"/>
    <w:tmpl w:val="EFAC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037DA"/>
    <w:rsid w:val="0024258E"/>
    <w:rsid w:val="0027682A"/>
    <w:rsid w:val="0029651C"/>
    <w:rsid w:val="00366601"/>
    <w:rsid w:val="00366C75"/>
    <w:rsid w:val="00386EEB"/>
    <w:rsid w:val="003A2041"/>
    <w:rsid w:val="004D378C"/>
    <w:rsid w:val="005631D6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customStyle="1" w:styleId="text-token-text-secondary">
    <w:name w:val="text-token-text-secondary"/>
    <w:basedOn w:val="DefaultParagraphFont"/>
    <w:rsid w:val="005631D6"/>
  </w:style>
  <w:style w:type="paragraph" w:styleId="NormalWeb">
    <w:name w:val="Normal (Web)"/>
    <w:basedOn w:val="Normal"/>
    <w:uiPriority w:val="99"/>
    <w:unhideWhenUsed/>
    <w:rsid w:val="00563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768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0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4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81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53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6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382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7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3e70ad48-2dbb-4840-854d-17419981058e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410EA819-8F91-4C16-ADF3-22059FBDB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4</cp:revision>
  <cp:lastPrinted>2022-03-14T11:55:00Z</cp:lastPrinted>
  <dcterms:created xsi:type="dcterms:W3CDTF">2025-05-15T12:40:00Z</dcterms:created>
  <dcterms:modified xsi:type="dcterms:W3CDTF">2025-05-25T20:35:00Z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