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3CE94770"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3A0DFAED" w14:textId="77777777" w:rsidR="00225ABA" w:rsidRPr="00225ABA" w:rsidRDefault="00025BF3" w:rsidP="00225AB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225ABA" w:rsidRPr="00225ABA">
        <w:rPr>
          <w:rFonts w:asciiTheme="minorHAnsi" w:hAnsiTheme="minorHAnsi" w:cstheme="minorHAnsi"/>
          <w:sz w:val="22"/>
          <w:szCs w:val="22"/>
        </w:rPr>
        <w:t>Kateřina Vejmělková</w:t>
      </w:r>
    </w:p>
    <w:p w14:paraId="7BEB1D07" w14:textId="06FC7553"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225ABA">
        <w:rPr>
          <w:rFonts w:asciiTheme="minorHAnsi" w:hAnsiTheme="minorHAnsi" w:cstheme="minorHAnsi"/>
          <w:sz w:val="22"/>
          <w:szCs w:val="22"/>
        </w:rPr>
        <w:t>Ing. Blanka Kameníková, Ph.D</w:t>
      </w:r>
      <w:r w:rsidR="008757F3">
        <w:rPr>
          <w:rFonts w:asciiTheme="minorHAnsi" w:hAnsiTheme="minorHAnsi" w:cstheme="minorHAnsi"/>
          <w:sz w:val="22"/>
          <w:szCs w:val="22"/>
        </w:rPr>
        <w:t>.</w:t>
      </w:r>
    </w:p>
    <w:p w14:paraId="7802B045" w14:textId="3544C0BA" w:rsidR="00225ABA" w:rsidRPr="00225ABA" w:rsidRDefault="00025BF3" w:rsidP="00225ABA">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225ABA" w:rsidRPr="00225ABA">
        <w:rPr>
          <w:rFonts w:cstheme="minorHAnsi"/>
        </w:rPr>
        <w:t xml:space="preserve">Analýza dopadů regulace </w:t>
      </w:r>
      <w:proofErr w:type="spellStart"/>
      <w:r w:rsidR="00225ABA" w:rsidRPr="00225ABA">
        <w:rPr>
          <w:rFonts w:cstheme="minorHAnsi"/>
        </w:rPr>
        <w:t>kryptoaktiv</w:t>
      </w:r>
      <w:proofErr w:type="spellEnd"/>
      <w:r w:rsidR="00225ABA" w:rsidRPr="00225ABA">
        <w:rPr>
          <w:rFonts w:cstheme="minorHAnsi"/>
        </w:rPr>
        <w:t xml:space="preserve"> na bankovní instit</w:t>
      </w:r>
      <w:r w:rsidR="00225ABA">
        <w:rPr>
          <w:rFonts w:cstheme="minorHAnsi"/>
        </w:rPr>
        <w:t>uce</w:t>
      </w:r>
    </w:p>
    <w:p w14:paraId="07FD52EA" w14:textId="5949609E" w:rsidR="00025BF3" w:rsidRPr="009C322A" w:rsidRDefault="00025BF3" w:rsidP="00025BF3">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225ABA">
            <w:rPr>
              <w:rFonts w:asciiTheme="minorHAnsi" w:hAnsiTheme="minorHAnsi" w:cstheme="minorHAnsi"/>
              <w:sz w:val="22"/>
              <w:szCs w:val="22"/>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3999F8D5" w:rsidR="00025BF3" w:rsidRPr="00C27492" w:rsidRDefault="00025BF3" w:rsidP="00C27492">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00C27492" w:rsidRPr="00C27492">
        <w:rPr>
          <w:rFonts w:cstheme="minorHAnsi"/>
          <w:i/>
          <w:sz w:val="20"/>
        </w:rPr>
        <w:t>A – splněno výborně bez výhrad,</w:t>
      </w:r>
      <w:r w:rsidR="00C27492" w:rsidRPr="00C27492">
        <w:rPr>
          <w:rFonts w:cstheme="minorHAnsi"/>
          <w:i/>
          <w:sz w:val="20"/>
          <w:lang w:val="en-GB"/>
        </w:rPr>
        <w:t xml:space="preserve"> </w:t>
      </w:r>
      <w:r w:rsidR="00C27492" w:rsidRPr="00C27492">
        <w:rPr>
          <w:rFonts w:cstheme="minorHAnsi"/>
          <w:i/>
          <w:sz w:val="20"/>
        </w:rPr>
        <w:t>B – splněno velmi dobře s drobnými připomínkami, C – splněno průměrně, D – splněno s nedostatky, E – splněno, ale s výraznými nedostatky, F – nesplněno.</w:t>
      </w:r>
      <w:bookmarkEnd w:id="0"/>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BP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3FA2F3EE" w:rsidR="000E094A" w:rsidRDefault="00CB75FE"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0D2E8F11"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308DC6CC" w14:textId="77777777" w:rsidR="000E094A" w:rsidRDefault="000E094A" w:rsidP="00CD12C3">
            <w:pPr>
              <w:tabs>
                <w:tab w:val="right" w:pos="8789"/>
              </w:tabs>
              <w:jc w:val="both"/>
              <w:rPr>
                <w:rFonts w:cstheme="minorHAnsi"/>
              </w:rPr>
            </w:pPr>
          </w:p>
          <w:p w14:paraId="05E6B5AA" w14:textId="1689EED7" w:rsidR="000E094A" w:rsidRPr="000E094A" w:rsidRDefault="00CB75FE" w:rsidP="00CB75FE">
            <w:pPr>
              <w:rPr>
                <w:rFonts w:cstheme="minorHAnsi"/>
              </w:rPr>
            </w:pPr>
            <w:r w:rsidRPr="007F2C16">
              <w:t>Cíle práce nejsou formulovány dostatečně konkrétně. Hlavní cíl „posoudit vliv zavedených regulací“ není rozpracován na konkrétní oblasti dopadů (např. vliv na strategie, vnitřní předpisy, strukturu řízení rizik). Dílčí cíl „porozumět regulačnímu rámci“ nepředstavuje měřitelný odborný cíl. Cíl týkající se připravenosti bankovních institucí není podložen metodikou, která by umožnila porovnání nebo objektivní hodnocení tohoto stavu.</w:t>
            </w:r>
            <w:r>
              <w:t xml:space="preserve"> </w:t>
            </w:r>
            <w:r w:rsidRPr="007F2C16">
              <w:t>Uváděný rozhovor s odborníkem není metodicky zpracován a chybí vysvětlení, jak byly informace využity. Práce nepracuje s analytickými nebo komparativními metodami</w:t>
            </w:r>
            <w:r>
              <w:t xml:space="preserve"> (</w:t>
            </w:r>
            <w:r w:rsidRPr="007F2C16">
              <w:t>SWOT analýza, benchmarking nebo případová studie</w:t>
            </w:r>
            <w:r>
              <w:t>)</w:t>
            </w:r>
            <w:r w:rsidRPr="007F2C16">
              <w:t>, které by byly pro naplnění cílů vhodné.</w:t>
            </w:r>
            <w:r>
              <w:t xml:space="preserve"> </w:t>
            </w:r>
            <w:r w:rsidRPr="007F2C16">
              <w:t>Zvolený přístup je tak spíše popisný</w:t>
            </w:r>
            <w:r>
              <w:t>.</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5038DB4D" w:rsidR="000E094A" w:rsidRDefault="00CE2023"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EC956ED"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2F195D88" w14:textId="2C26345A" w:rsidR="000E094A" w:rsidRPr="000E094A" w:rsidRDefault="00CE2023" w:rsidP="00CD12C3">
            <w:pPr>
              <w:tabs>
                <w:tab w:val="right" w:pos="8789"/>
              </w:tabs>
              <w:jc w:val="both"/>
              <w:rPr>
                <w:rFonts w:cstheme="minorHAnsi"/>
              </w:rPr>
            </w:pPr>
            <w:r>
              <w:rPr>
                <w:rFonts w:cstheme="minorHAnsi"/>
              </w:rPr>
              <w:t>T</w:t>
            </w:r>
            <w:r w:rsidRPr="00CE2023">
              <w:rPr>
                <w:rFonts w:cstheme="minorHAnsi"/>
              </w:rPr>
              <w:t>eoretická část čerpá z relevantních zdrojů, ale jejich použití je většinou popisné, bez hlubší analytické práce. Citace jsou převážně dle normy, ale v některých případech chybí přímé odkazy v textu. Práce místy užívá příliš populární nebo neformální jazyk („kdo umí používat chytrý telefon, zvládne nakoupit kryptoměnu“), což snižuje odbornou úroveň. Nevhodně působí i forma některých názvů kapitol, např. otazník v názvu kapitoly na str. 23.</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1281E32E" w:rsidR="000E094A" w:rsidRDefault="009B5692"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48911513" w:rsid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r w:rsidR="008B781B">
              <w:rPr>
                <w:rFonts w:cstheme="minorHAnsi"/>
                <w:i/>
                <w:sz w:val="20"/>
              </w:rPr>
              <w:t xml:space="preserve"> </w:t>
            </w:r>
          </w:p>
          <w:p w14:paraId="339BD76E" w14:textId="77777777" w:rsidR="000E094A" w:rsidRPr="000E094A" w:rsidRDefault="000E094A" w:rsidP="00CD12C3">
            <w:pPr>
              <w:tabs>
                <w:tab w:val="right" w:pos="8789"/>
              </w:tabs>
              <w:jc w:val="both"/>
              <w:rPr>
                <w:rFonts w:cstheme="minorHAnsi"/>
              </w:rPr>
            </w:pPr>
          </w:p>
          <w:p w14:paraId="627B5321" w14:textId="45B9196B" w:rsidR="000E094A" w:rsidRPr="000E094A" w:rsidRDefault="009B5692" w:rsidP="00CD12C3">
            <w:pPr>
              <w:tabs>
                <w:tab w:val="right" w:pos="8789"/>
              </w:tabs>
              <w:jc w:val="both"/>
              <w:rPr>
                <w:rFonts w:cstheme="minorHAnsi"/>
              </w:rPr>
            </w:pPr>
            <w:r w:rsidRPr="009B5692">
              <w:rPr>
                <w:rFonts w:cstheme="minorHAnsi"/>
              </w:rPr>
              <w:t xml:space="preserve">Praktická část pokrývá hlavní požadavky zadání, nicméně jednotlivé oblasti nejsou vyváženě rozpracovány. Informace získané z rozhovoru nebyly využity pro systematické srovnání nebo hlubší analýzu, což snižuje jejich přínos. Analýza dopadů </w:t>
            </w:r>
            <w:proofErr w:type="spellStart"/>
            <w:r w:rsidRPr="009B5692">
              <w:rPr>
                <w:rFonts w:cstheme="minorHAnsi"/>
              </w:rPr>
              <w:t>MiCA</w:t>
            </w:r>
            <w:proofErr w:type="spellEnd"/>
            <w:r w:rsidRPr="009B5692">
              <w:rPr>
                <w:rFonts w:cstheme="minorHAnsi"/>
              </w:rPr>
              <w:t xml:space="preserve"> a AMLD na konkrétní oddělení bank je přínosná, ale chybí kvantifikace dopadů, systematizace rizik či komparace mezi bankami. Přístup k připravenosti bank je ilustrován na příkladech, ale není zřejmé, proč byly vybrány právě tyto instituce. Chybí metodologický rámec pro srovnání, např. ukazatele připravenosti, SWOT nebo benchmarking.</w:t>
            </w: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53111AA" w:rsidR="000E094A" w:rsidRDefault="00025B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0328989E" w:rsidR="000E094A" w:rsidRDefault="0029364C"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D3E025E" w:rsidR="004D378C" w:rsidRPr="008B781B" w:rsidRDefault="00025B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r w:rsidR="004D378C">
              <w:rPr>
                <w:rFonts w:cstheme="minorHAnsi"/>
                <w:i/>
                <w:sz w:val="20"/>
              </w:rPr>
              <w:t>.</w:t>
            </w:r>
          </w:p>
          <w:p w14:paraId="1A5DEC6E" w14:textId="77777777" w:rsidR="0029364C" w:rsidRDefault="0029364C" w:rsidP="0029364C">
            <w:pPr>
              <w:rPr>
                <w:rFonts w:ascii="Times New Roman" w:eastAsia="Times New Roman" w:hAnsi="Times New Roman" w:cs="Times New Roman"/>
                <w:sz w:val="24"/>
                <w:szCs w:val="24"/>
                <w:lang w:eastAsia="cs-CZ"/>
              </w:rPr>
            </w:pPr>
          </w:p>
          <w:p w14:paraId="6B525AD6" w14:textId="77777777" w:rsidR="0029364C" w:rsidRPr="000F2E58" w:rsidRDefault="0029364C" w:rsidP="0029364C">
            <w:pPr>
              <w:rPr>
                <w:rFonts w:ascii="Times New Roman" w:eastAsia="Times New Roman" w:hAnsi="Times New Roman" w:cs="Times New Roman"/>
                <w:lang w:eastAsia="cs-CZ"/>
              </w:rPr>
            </w:pPr>
            <w:r w:rsidRPr="000F2E58">
              <w:rPr>
                <w:rFonts w:ascii="Times New Roman" w:eastAsia="Times New Roman" w:hAnsi="Times New Roman" w:cs="Times New Roman"/>
                <w:lang w:eastAsia="cs-CZ"/>
              </w:rPr>
              <w:t>Navrhovaná část není zcela systematická, spíše popisuje vybrané možnosti (např. partnerství s fintechy, modernizace platebních systémů), ale neobsahuje konkrétní doporučení pro banky nebo návrh implementace. Diskuze příležitostí a hrozeb zůstává na obecné rovině. Chybí propojení návrhů s konkrétními závěry z analytické části.</w:t>
            </w:r>
          </w:p>
          <w:p w14:paraId="08191F52" w14:textId="30FDF99E" w:rsidR="0029364C" w:rsidRPr="000E094A" w:rsidRDefault="0029364C" w:rsidP="0029364C">
            <w:pPr>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49BE1C00" w:rsidR="000E094A" w:rsidRDefault="00710F46"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074CD04F" w:rsidR="004D378C" w:rsidRPr="008B781B" w:rsidRDefault="00025B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w:t>
            </w:r>
          </w:p>
          <w:p w14:paraId="01998C67" w14:textId="77777777" w:rsidR="000E094A" w:rsidRPr="000E094A" w:rsidRDefault="000E094A" w:rsidP="00CD12C3">
            <w:pPr>
              <w:tabs>
                <w:tab w:val="right" w:pos="8789"/>
              </w:tabs>
              <w:jc w:val="both"/>
              <w:rPr>
                <w:rFonts w:cstheme="minorHAnsi"/>
              </w:rPr>
            </w:pPr>
          </w:p>
          <w:p w14:paraId="7A34CF56" w14:textId="77777777" w:rsidR="000E094A" w:rsidRPr="000F2E58" w:rsidRDefault="00710F46" w:rsidP="00CD12C3">
            <w:pPr>
              <w:tabs>
                <w:tab w:val="right" w:pos="8789"/>
              </w:tabs>
              <w:jc w:val="both"/>
              <w:rPr>
                <w:rFonts w:ascii="Times New Roman" w:eastAsia="Times New Roman" w:hAnsi="Times New Roman" w:cs="Times New Roman"/>
                <w:lang w:eastAsia="cs-CZ"/>
              </w:rPr>
            </w:pPr>
            <w:r w:rsidRPr="000F2E58">
              <w:rPr>
                <w:rFonts w:ascii="Times New Roman" w:eastAsia="Times New Roman" w:hAnsi="Times New Roman" w:cs="Times New Roman"/>
                <w:lang w:eastAsia="cs-CZ"/>
              </w:rPr>
              <w:t>Text obsahuje opakované stylistické a jazykové nedostatky, včetně výskytu neformálních výrazů, hovorového stylu nebo narušení odborné terminologie. V názvech některých kapitol se nevhodně objevuje otazník. Text místy obsahuje dlouhé nebo nepřehledně strukturované odstavce. V několika případech chybí citační odkazy. Zařazení přehledných tabulek nebo schémat by pomohlo práci lépe strukturovat a podpořit srozumitelnost.</w:t>
            </w:r>
          </w:p>
          <w:p w14:paraId="1CBFD397" w14:textId="4ACF6C61" w:rsidR="00710F46" w:rsidRPr="000E094A" w:rsidRDefault="00710F46"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61312E44" w:rsidR="009C7318" w:rsidRDefault="00710F46" w:rsidP="00694399">
                <w:pPr>
                  <w:tabs>
                    <w:tab w:val="right" w:pos="8789"/>
                  </w:tabs>
                  <w:jc w:val="center"/>
                  <w:rPr>
                    <w:rFonts w:cstheme="minorHAnsi"/>
                    <w:b/>
                  </w:rPr>
                </w:pPr>
                <w:r>
                  <w:rPr>
                    <w:rFonts w:cstheme="minorHAnsi"/>
                    <w:b/>
                  </w:rPr>
                  <w:t>C</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6077F1C7" w14:textId="1997EBE1" w:rsidR="00710F46" w:rsidRPr="000F2E58" w:rsidRDefault="00710F46" w:rsidP="00710F46">
            <w:pPr>
              <w:spacing w:before="100" w:beforeAutospacing="1" w:after="100" w:afterAutospacing="1"/>
              <w:rPr>
                <w:rFonts w:ascii="Times New Roman" w:eastAsia="Times New Roman" w:hAnsi="Times New Roman" w:cs="Times New Roman"/>
                <w:lang w:eastAsia="cs-CZ"/>
              </w:rPr>
            </w:pPr>
            <w:bookmarkStart w:id="1" w:name="_Hlk98164743"/>
            <w:r w:rsidRPr="000F2E58">
              <w:rPr>
                <w:rFonts w:ascii="Times New Roman" w:eastAsia="Times New Roman" w:hAnsi="Times New Roman" w:cs="Times New Roman"/>
                <w:lang w:eastAsia="cs-CZ"/>
              </w:rPr>
              <w:t xml:space="preserve">Práce se věnuje aktuálnímu a odborně relevantnímu tématu, přičemž autorka prokazuje základní orientaci v oblasti regulace </w:t>
            </w:r>
            <w:proofErr w:type="spellStart"/>
            <w:r w:rsidRPr="000F2E58">
              <w:rPr>
                <w:rFonts w:ascii="Times New Roman" w:eastAsia="Times New Roman" w:hAnsi="Times New Roman" w:cs="Times New Roman"/>
                <w:lang w:eastAsia="cs-CZ"/>
              </w:rPr>
              <w:t>kryptoaktiv</w:t>
            </w:r>
            <w:proofErr w:type="spellEnd"/>
            <w:r w:rsidRPr="000F2E58">
              <w:rPr>
                <w:rFonts w:ascii="Times New Roman" w:eastAsia="Times New Roman" w:hAnsi="Times New Roman" w:cs="Times New Roman"/>
                <w:lang w:eastAsia="cs-CZ"/>
              </w:rPr>
              <w:t xml:space="preserve"> a jejího vlivu na bankovní instituce. </w:t>
            </w:r>
            <w:r w:rsidR="00296F0E" w:rsidRPr="000F2E58">
              <w:rPr>
                <w:rFonts w:ascii="Times New Roman" w:eastAsia="Times New Roman" w:hAnsi="Times New Roman" w:cs="Times New Roman"/>
                <w:lang w:eastAsia="cs-CZ"/>
              </w:rPr>
              <w:t xml:space="preserve">Teoretická část vychází z relevantních zdrojů, ale jejich využití je spíše popisné. </w:t>
            </w:r>
            <w:r w:rsidRPr="000F2E58">
              <w:rPr>
                <w:rFonts w:ascii="Times New Roman" w:eastAsia="Times New Roman" w:hAnsi="Times New Roman" w:cs="Times New Roman"/>
                <w:lang w:eastAsia="cs-CZ"/>
              </w:rPr>
              <w:t>Praktická část přináší přehled dopadů vybraných regulací, ale postrádá systematizaci, kvantifikaci a metodický rámec pro srovnání. Návrhová část není propojena s analytickou a chybí jí konkrétnost</w:t>
            </w:r>
            <w:r w:rsidR="008757F3" w:rsidRPr="000F2E58">
              <w:rPr>
                <w:rFonts w:ascii="Times New Roman" w:eastAsia="Times New Roman" w:hAnsi="Times New Roman" w:cs="Times New Roman"/>
                <w:lang w:eastAsia="cs-CZ"/>
              </w:rPr>
              <w:t>.</w:t>
            </w:r>
          </w:p>
          <w:p w14:paraId="4FC68188" w14:textId="0065A1A3" w:rsidR="00710F46" w:rsidRPr="000E094A" w:rsidRDefault="00710F46" w:rsidP="00710F46">
            <w:pPr>
              <w:tabs>
                <w:tab w:val="right" w:pos="8789"/>
              </w:tabs>
              <w:jc w:val="both"/>
              <w:rPr>
                <w:rFonts w:cstheme="minorHAnsi"/>
              </w:rPr>
            </w:pPr>
          </w:p>
        </w:tc>
      </w:tr>
    </w:tbl>
    <w:bookmarkEnd w:id="1"/>
    <w:p w14:paraId="5C15DC76" w14:textId="6047210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14168F38" w14:textId="77777777" w:rsidR="00EF509D" w:rsidRPr="000F2E58" w:rsidRDefault="00EF509D" w:rsidP="00EF509D">
      <w:pPr>
        <w:pStyle w:val="Odstavecseseznamem"/>
        <w:numPr>
          <w:ilvl w:val="0"/>
          <w:numId w:val="4"/>
        </w:numPr>
        <w:spacing w:before="100" w:beforeAutospacing="1" w:after="100" w:afterAutospacing="1" w:line="240" w:lineRule="auto"/>
        <w:rPr>
          <w:rFonts w:ascii="Times New Roman" w:eastAsia="Times New Roman" w:hAnsi="Times New Roman" w:cs="Times New Roman"/>
          <w:lang w:eastAsia="cs-CZ"/>
        </w:rPr>
      </w:pPr>
      <w:r w:rsidRPr="000F2E58">
        <w:rPr>
          <w:rFonts w:ascii="Times New Roman" w:eastAsia="Times New Roman" w:hAnsi="Times New Roman" w:cs="Times New Roman"/>
          <w:lang w:eastAsia="cs-CZ"/>
        </w:rPr>
        <w:t xml:space="preserve">Která konkrétní ustanovení </w:t>
      </w:r>
      <w:proofErr w:type="spellStart"/>
      <w:r w:rsidRPr="000F2E58">
        <w:rPr>
          <w:rFonts w:ascii="Times New Roman" w:eastAsia="Times New Roman" w:hAnsi="Times New Roman" w:cs="Times New Roman"/>
          <w:lang w:eastAsia="cs-CZ"/>
        </w:rPr>
        <w:t>MiCA</w:t>
      </w:r>
      <w:proofErr w:type="spellEnd"/>
      <w:r w:rsidRPr="000F2E58">
        <w:rPr>
          <w:rFonts w:ascii="Times New Roman" w:eastAsia="Times New Roman" w:hAnsi="Times New Roman" w:cs="Times New Roman"/>
          <w:lang w:eastAsia="cs-CZ"/>
        </w:rPr>
        <w:t xml:space="preserve"> považujete za nejzásadnější pro strategii banky a jaký dopad mají na řízení rizik?</w:t>
      </w:r>
    </w:p>
    <w:p w14:paraId="16D12F90" w14:textId="77777777" w:rsidR="00EF509D" w:rsidRPr="000F2E58" w:rsidRDefault="00EF509D" w:rsidP="00EF509D">
      <w:pPr>
        <w:pStyle w:val="Odstavecseseznamem"/>
        <w:numPr>
          <w:ilvl w:val="0"/>
          <w:numId w:val="4"/>
        </w:numPr>
        <w:spacing w:before="100" w:beforeAutospacing="1" w:after="100" w:afterAutospacing="1" w:line="240" w:lineRule="auto"/>
        <w:rPr>
          <w:rFonts w:ascii="Times New Roman" w:eastAsia="Times New Roman" w:hAnsi="Times New Roman" w:cs="Times New Roman"/>
          <w:lang w:eastAsia="cs-CZ"/>
        </w:rPr>
      </w:pPr>
      <w:r w:rsidRPr="000F2E58">
        <w:rPr>
          <w:rFonts w:ascii="Times New Roman" w:eastAsia="Times New Roman" w:hAnsi="Times New Roman" w:cs="Times New Roman"/>
          <w:lang w:eastAsia="cs-CZ"/>
        </w:rPr>
        <w:t xml:space="preserve">Jak by bylo možné kvantifikovat připravenost bank na implementaci regulace </w:t>
      </w:r>
      <w:proofErr w:type="spellStart"/>
      <w:r w:rsidRPr="000F2E58">
        <w:rPr>
          <w:rFonts w:ascii="Times New Roman" w:eastAsia="Times New Roman" w:hAnsi="Times New Roman" w:cs="Times New Roman"/>
          <w:lang w:eastAsia="cs-CZ"/>
        </w:rPr>
        <w:t>MiCA</w:t>
      </w:r>
      <w:proofErr w:type="spellEnd"/>
      <w:r w:rsidRPr="000F2E58">
        <w:rPr>
          <w:rFonts w:ascii="Times New Roman" w:eastAsia="Times New Roman" w:hAnsi="Times New Roman" w:cs="Times New Roman"/>
          <w:lang w:eastAsia="cs-CZ"/>
        </w:rPr>
        <w:t xml:space="preserve"> – navrhněte metody nebo ukazatele.</w:t>
      </w:r>
    </w:p>
    <w:p w14:paraId="3847F10D" w14:textId="77777777" w:rsidR="00296F0E" w:rsidRPr="000F2E58" w:rsidRDefault="00296F0E" w:rsidP="00296F0E">
      <w:pPr>
        <w:pStyle w:val="Odstavecseseznamem"/>
        <w:numPr>
          <w:ilvl w:val="0"/>
          <w:numId w:val="4"/>
        </w:numPr>
        <w:spacing w:before="100" w:beforeAutospacing="1" w:after="100" w:afterAutospacing="1" w:line="240" w:lineRule="auto"/>
        <w:rPr>
          <w:rFonts w:ascii="Times New Roman" w:eastAsia="Times New Roman" w:hAnsi="Times New Roman" w:cs="Times New Roman"/>
          <w:lang w:eastAsia="cs-CZ"/>
        </w:rPr>
      </w:pPr>
      <w:r w:rsidRPr="000F2E58">
        <w:rPr>
          <w:rFonts w:ascii="Times New Roman" w:eastAsia="Times New Roman" w:hAnsi="Times New Roman" w:cs="Times New Roman"/>
          <w:lang w:eastAsia="cs-CZ"/>
        </w:rPr>
        <w:t>Proč nebyla v práci využita srovnávací metoda nebo případová studie při hodnocení připravenosti vybraných bank?</w:t>
      </w:r>
    </w:p>
    <w:p w14:paraId="5C89816B" w14:textId="77777777" w:rsidR="0024258E" w:rsidRDefault="0024258E" w:rsidP="00A40E93">
      <w:pPr>
        <w:jc w:val="both"/>
        <w:rPr>
          <w:rFonts w:cstheme="minorHAnsi"/>
        </w:rPr>
      </w:pPr>
    </w:p>
    <w:p w14:paraId="4E3072FA" w14:textId="0BEDAFEF"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296F0E">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296F0E">
            <w:rPr>
              <w:rFonts w:cstheme="minorHAnsi"/>
              <w:b/>
            </w:rPr>
            <w:t>doporučuji</w:t>
          </w:r>
        </w:sdtContent>
      </w:sdt>
      <w:r>
        <w:t xml:space="preserve"> k obhajobě.</w:t>
      </w:r>
      <w:r w:rsidR="00CD12C3">
        <w:t xml:space="preserve"> </w:t>
      </w:r>
      <w:bookmarkStart w:id="2" w:name="_GoBack"/>
      <w:bookmarkEnd w:id="2"/>
    </w:p>
    <w:p w14:paraId="61C6ACF4" w14:textId="77777777" w:rsidR="0024258E" w:rsidRDefault="0024258E" w:rsidP="00A40E93">
      <w:pPr>
        <w:jc w:val="both"/>
        <w:rPr>
          <w:rFonts w:cstheme="minorHAnsi"/>
        </w:rPr>
      </w:pPr>
    </w:p>
    <w:p w14:paraId="3C1CAAE4" w14:textId="169DA81B"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9T00:00:00Z">
            <w:dateFormat w:val="dd.MM.yyyy"/>
            <w:lid w:val="cs-CZ"/>
            <w:storeMappedDataAs w:val="dateTime"/>
            <w:calendar w:val="gregorian"/>
          </w:date>
        </w:sdtPr>
        <w:sdtEndPr/>
        <w:sdtContent>
          <w:r w:rsidR="00296F0E">
            <w:rPr>
              <w:rFonts w:cstheme="minorHAnsi"/>
            </w:rPr>
            <w:t>29.05.2025</w:t>
          </w:r>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5A3B4A">
        <w:rPr>
          <w:rFonts w:cstheme="minorHAnsi"/>
        </w:rPr>
        <w:t>oponenta</w:t>
      </w:r>
      <w:r w:rsidR="009C7318">
        <w:rPr>
          <w:rFonts w:cstheme="minorHAnsi"/>
        </w:rPr>
        <w:t xml:space="preserve"> BP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A9812D" w14:textId="77777777" w:rsidR="00BF34DC" w:rsidRDefault="00BF34DC" w:rsidP="00A40E93">
      <w:pPr>
        <w:spacing w:after="0" w:line="240" w:lineRule="auto"/>
      </w:pPr>
      <w:r>
        <w:separator/>
      </w:r>
    </w:p>
  </w:endnote>
  <w:endnote w:type="continuationSeparator" w:id="0">
    <w:p w14:paraId="5E690BDE" w14:textId="77777777" w:rsidR="00BF34DC" w:rsidRDefault="00BF34DC"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492AD" w14:textId="77777777" w:rsidR="00BF34DC" w:rsidRDefault="00BF34DC" w:rsidP="00A40E93">
      <w:pPr>
        <w:spacing w:after="0" w:line="240" w:lineRule="auto"/>
      </w:pPr>
      <w:r>
        <w:separator/>
      </w:r>
    </w:p>
  </w:footnote>
  <w:footnote w:type="continuationSeparator" w:id="0">
    <w:p w14:paraId="54A1F345" w14:textId="77777777" w:rsidR="00BF34DC" w:rsidRDefault="00BF34DC"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F4C6D"/>
    <w:multiLevelType w:val="multilevel"/>
    <w:tmpl w:val="7D103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25BF3"/>
    <w:rsid w:val="000E094A"/>
    <w:rsid w:val="000F2E58"/>
    <w:rsid w:val="00112356"/>
    <w:rsid w:val="001F3B2E"/>
    <w:rsid w:val="00225ABA"/>
    <w:rsid w:val="0024258E"/>
    <w:rsid w:val="0029364C"/>
    <w:rsid w:val="0029651C"/>
    <w:rsid w:val="00296F0E"/>
    <w:rsid w:val="004D378C"/>
    <w:rsid w:val="005A3B4A"/>
    <w:rsid w:val="005C4ACA"/>
    <w:rsid w:val="0067082B"/>
    <w:rsid w:val="00694399"/>
    <w:rsid w:val="00710F46"/>
    <w:rsid w:val="0073639B"/>
    <w:rsid w:val="007553A6"/>
    <w:rsid w:val="007F1BC8"/>
    <w:rsid w:val="00823904"/>
    <w:rsid w:val="0085398A"/>
    <w:rsid w:val="008757F3"/>
    <w:rsid w:val="008B781B"/>
    <w:rsid w:val="00974EA2"/>
    <w:rsid w:val="00987B93"/>
    <w:rsid w:val="009B5692"/>
    <w:rsid w:val="009C322A"/>
    <w:rsid w:val="009C7318"/>
    <w:rsid w:val="00A14575"/>
    <w:rsid w:val="00A40E93"/>
    <w:rsid w:val="00A7527E"/>
    <w:rsid w:val="00B14451"/>
    <w:rsid w:val="00BA16DD"/>
    <w:rsid w:val="00BA7666"/>
    <w:rsid w:val="00BF34DC"/>
    <w:rsid w:val="00C27492"/>
    <w:rsid w:val="00CA34A9"/>
    <w:rsid w:val="00CB75FE"/>
    <w:rsid w:val="00CD12C3"/>
    <w:rsid w:val="00CE2023"/>
    <w:rsid w:val="00CE55BD"/>
    <w:rsid w:val="00DC7D52"/>
    <w:rsid w:val="00E22423"/>
    <w:rsid w:val="00E7633F"/>
    <w:rsid w:val="00EF1720"/>
    <w:rsid w:val="00EF509D"/>
    <w:rsid w:val="00F92C79"/>
    <w:rsid w:val="00FB67E1"/>
    <w:rsid w:val="00FC2852"/>
    <w:rsid w:val="00FE4AB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 w:type="paragraph" w:styleId="Normlnweb">
    <w:name w:val="Normal (Web)"/>
    <w:basedOn w:val="Normln"/>
    <w:uiPriority w:val="99"/>
    <w:semiHidden/>
    <w:unhideWhenUsed/>
    <w:rsid w:val="00225AB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34710">
      <w:bodyDiv w:val="1"/>
      <w:marLeft w:val="0"/>
      <w:marRight w:val="0"/>
      <w:marTop w:val="0"/>
      <w:marBottom w:val="0"/>
      <w:divBdr>
        <w:top w:val="none" w:sz="0" w:space="0" w:color="auto"/>
        <w:left w:val="none" w:sz="0" w:space="0" w:color="auto"/>
        <w:bottom w:val="none" w:sz="0" w:space="0" w:color="auto"/>
        <w:right w:val="none" w:sz="0" w:space="0" w:color="auto"/>
      </w:divBdr>
    </w:div>
    <w:div w:id="68116527">
      <w:bodyDiv w:val="1"/>
      <w:marLeft w:val="0"/>
      <w:marRight w:val="0"/>
      <w:marTop w:val="0"/>
      <w:marBottom w:val="0"/>
      <w:divBdr>
        <w:top w:val="none" w:sz="0" w:space="0" w:color="auto"/>
        <w:left w:val="none" w:sz="0" w:space="0" w:color="auto"/>
        <w:bottom w:val="none" w:sz="0" w:space="0" w:color="auto"/>
        <w:right w:val="none" w:sz="0" w:space="0" w:color="auto"/>
      </w:divBdr>
    </w:div>
    <w:div w:id="137773631">
      <w:bodyDiv w:val="1"/>
      <w:marLeft w:val="0"/>
      <w:marRight w:val="0"/>
      <w:marTop w:val="0"/>
      <w:marBottom w:val="0"/>
      <w:divBdr>
        <w:top w:val="none" w:sz="0" w:space="0" w:color="auto"/>
        <w:left w:val="none" w:sz="0" w:space="0" w:color="auto"/>
        <w:bottom w:val="none" w:sz="0" w:space="0" w:color="auto"/>
        <w:right w:val="none" w:sz="0" w:space="0" w:color="auto"/>
      </w:divBdr>
    </w:div>
    <w:div w:id="565650218">
      <w:bodyDiv w:val="1"/>
      <w:marLeft w:val="0"/>
      <w:marRight w:val="0"/>
      <w:marTop w:val="0"/>
      <w:marBottom w:val="0"/>
      <w:divBdr>
        <w:top w:val="none" w:sz="0" w:space="0" w:color="auto"/>
        <w:left w:val="none" w:sz="0" w:space="0" w:color="auto"/>
        <w:bottom w:val="none" w:sz="0" w:space="0" w:color="auto"/>
        <w:right w:val="none" w:sz="0" w:space="0" w:color="auto"/>
      </w:divBdr>
    </w:div>
    <w:div w:id="621114960">
      <w:bodyDiv w:val="1"/>
      <w:marLeft w:val="0"/>
      <w:marRight w:val="0"/>
      <w:marTop w:val="0"/>
      <w:marBottom w:val="0"/>
      <w:divBdr>
        <w:top w:val="none" w:sz="0" w:space="0" w:color="auto"/>
        <w:left w:val="none" w:sz="0" w:space="0" w:color="auto"/>
        <w:bottom w:val="none" w:sz="0" w:space="0" w:color="auto"/>
        <w:right w:val="none" w:sz="0" w:space="0" w:color="auto"/>
      </w:divBdr>
    </w:div>
    <w:div w:id="636112151">
      <w:bodyDiv w:val="1"/>
      <w:marLeft w:val="0"/>
      <w:marRight w:val="0"/>
      <w:marTop w:val="0"/>
      <w:marBottom w:val="0"/>
      <w:divBdr>
        <w:top w:val="none" w:sz="0" w:space="0" w:color="auto"/>
        <w:left w:val="none" w:sz="0" w:space="0" w:color="auto"/>
        <w:bottom w:val="none" w:sz="0" w:space="0" w:color="auto"/>
        <w:right w:val="none" w:sz="0" w:space="0" w:color="auto"/>
      </w:divBdr>
    </w:div>
    <w:div w:id="675302065">
      <w:bodyDiv w:val="1"/>
      <w:marLeft w:val="0"/>
      <w:marRight w:val="0"/>
      <w:marTop w:val="0"/>
      <w:marBottom w:val="0"/>
      <w:divBdr>
        <w:top w:val="none" w:sz="0" w:space="0" w:color="auto"/>
        <w:left w:val="none" w:sz="0" w:space="0" w:color="auto"/>
        <w:bottom w:val="none" w:sz="0" w:space="0" w:color="auto"/>
        <w:right w:val="none" w:sz="0" w:space="0" w:color="auto"/>
      </w:divBdr>
    </w:div>
    <w:div w:id="1323464437">
      <w:bodyDiv w:val="1"/>
      <w:marLeft w:val="0"/>
      <w:marRight w:val="0"/>
      <w:marTop w:val="0"/>
      <w:marBottom w:val="0"/>
      <w:divBdr>
        <w:top w:val="none" w:sz="0" w:space="0" w:color="auto"/>
        <w:left w:val="none" w:sz="0" w:space="0" w:color="auto"/>
        <w:bottom w:val="none" w:sz="0" w:space="0" w:color="auto"/>
        <w:right w:val="none" w:sz="0" w:space="0" w:color="auto"/>
      </w:divBdr>
    </w:div>
    <w:div w:id="1544293473">
      <w:bodyDiv w:val="1"/>
      <w:marLeft w:val="0"/>
      <w:marRight w:val="0"/>
      <w:marTop w:val="0"/>
      <w:marBottom w:val="0"/>
      <w:divBdr>
        <w:top w:val="none" w:sz="0" w:space="0" w:color="auto"/>
        <w:left w:val="none" w:sz="0" w:space="0" w:color="auto"/>
        <w:bottom w:val="none" w:sz="0" w:space="0" w:color="auto"/>
        <w:right w:val="none" w:sz="0" w:space="0" w:color="auto"/>
      </w:divBdr>
    </w:div>
    <w:div w:id="1564877298">
      <w:bodyDiv w:val="1"/>
      <w:marLeft w:val="0"/>
      <w:marRight w:val="0"/>
      <w:marTop w:val="0"/>
      <w:marBottom w:val="0"/>
      <w:divBdr>
        <w:top w:val="none" w:sz="0" w:space="0" w:color="auto"/>
        <w:left w:val="none" w:sz="0" w:space="0" w:color="auto"/>
        <w:bottom w:val="none" w:sz="0" w:space="0" w:color="auto"/>
        <w:right w:val="none" w:sz="0" w:space="0" w:color="auto"/>
      </w:divBdr>
    </w:div>
    <w:div w:id="1571160171">
      <w:bodyDiv w:val="1"/>
      <w:marLeft w:val="0"/>
      <w:marRight w:val="0"/>
      <w:marTop w:val="0"/>
      <w:marBottom w:val="0"/>
      <w:divBdr>
        <w:top w:val="none" w:sz="0" w:space="0" w:color="auto"/>
        <w:left w:val="none" w:sz="0" w:space="0" w:color="auto"/>
        <w:bottom w:val="none" w:sz="0" w:space="0" w:color="auto"/>
        <w:right w:val="none" w:sz="0" w:space="0" w:color="auto"/>
      </w:divBdr>
    </w:div>
    <w:div w:id="1603150025">
      <w:bodyDiv w:val="1"/>
      <w:marLeft w:val="0"/>
      <w:marRight w:val="0"/>
      <w:marTop w:val="0"/>
      <w:marBottom w:val="0"/>
      <w:divBdr>
        <w:top w:val="none" w:sz="0" w:space="0" w:color="auto"/>
        <w:left w:val="none" w:sz="0" w:space="0" w:color="auto"/>
        <w:bottom w:val="none" w:sz="0" w:space="0" w:color="auto"/>
        <w:right w:val="none" w:sz="0" w:space="0" w:color="auto"/>
      </w:divBdr>
    </w:div>
    <w:div w:id="1707824960">
      <w:bodyDiv w:val="1"/>
      <w:marLeft w:val="0"/>
      <w:marRight w:val="0"/>
      <w:marTop w:val="0"/>
      <w:marBottom w:val="0"/>
      <w:divBdr>
        <w:top w:val="none" w:sz="0" w:space="0" w:color="auto"/>
        <w:left w:val="none" w:sz="0" w:space="0" w:color="auto"/>
        <w:bottom w:val="none" w:sz="0" w:space="0" w:color="auto"/>
        <w:right w:val="none" w:sz="0" w:space="0" w:color="auto"/>
      </w:divBdr>
    </w:div>
    <w:div w:id="1734162098">
      <w:bodyDiv w:val="1"/>
      <w:marLeft w:val="0"/>
      <w:marRight w:val="0"/>
      <w:marTop w:val="0"/>
      <w:marBottom w:val="0"/>
      <w:divBdr>
        <w:top w:val="none" w:sz="0" w:space="0" w:color="auto"/>
        <w:left w:val="none" w:sz="0" w:space="0" w:color="auto"/>
        <w:bottom w:val="none" w:sz="0" w:space="0" w:color="auto"/>
        <w:right w:val="none" w:sz="0" w:space="0" w:color="auto"/>
      </w:divBdr>
    </w:div>
    <w:div w:id="1862862580">
      <w:bodyDiv w:val="1"/>
      <w:marLeft w:val="0"/>
      <w:marRight w:val="0"/>
      <w:marTop w:val="0"/>
      <w:marBottom w:val="0"/>
      <w:divBdr>
        <w:top w:val="none" w:sz="0" w:space="0" w:color="auto"/>
        <w:left w:val="none" w:sz="0" w:space="0" w:color="auto"/>
        <w:bottom w:val="none" w:sz="0" w:space="0" w:color="auto"/>
        <w:right w:val="none" w:sz="0" w:space="0" w:color="auto"/>
      </w:divBdr>
    </w:div>
    <w:div w:id="1919436162">
      <w:bodyDiv w:val="1"/>
      <w:marLeft w:val="0"/>
      <w:marRight w:val="0"/>
      <w:marTop w:val="0"/>
      <w:marBottom w:val="0"/>
      <w:divBdr>
        <w:top w:val="none" w:sz="0" w:space="0" w:color="auto"/>
        <w:left w:val="none" w:sz="0" w:space="0" w:color="auto"/>
        <w:bottom w:val="none" w:sz="0" w:space="0" w:color="auto"/>
        <w:right w:val="none" w:sz="0" w:space="0" w:color="auto"/>
      </w:divBdr>
    </w:div>
    <w:div w:id="195358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986CC7"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41090"/>
    <w:rsid w:val="00510546"/>
    <w:rsid w:val="005E083B"/>
    <w:rsid w:val="006A1252"/>
    <w:rsid w:val="00986CC7"/>
    <w:rsid w:val="00A7255F"/>
    <w:rsid w:val="00BA7666"/>
    <w:rsid w:val="00E761BF"/>
    <w:rsid w:val="00F8386A"/>
    <w:rsid w:val="00FB67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4749</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Bronislava Neubauerová</cp:lastModifiedBy>
  <cp:revision>2</cp:revision>
  <cp:lastPrinted>2022-03-14T11:55:00Z</cp:lastPrinted>
  <dcterms:created xsi:type="dcterms:W3CDTF">2025-05-29T16:19:00Z</dcterms:created>
  <dcterms:modified xsi:type="dcterms:W3CDTF">2025-05-29T16:19:00Z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