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3D2D2E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E3DA1" w:rsidRPr="008E3DA1">
        <w:rPr>
          <w:rFonts w:asciiTheme="minorHAnsi" w:hAnsiTheme="minorHAnsi" w:cstheme="minorHAnsi"/>
          <w:sz w:val="22"/>
          <w:szCs w:val="22"/>
        </w:rPr>
        <w:t>Adéla Polaštíková</w:t>
      </w:r>
    </w:p>
    <w:p w14:paraId="7BEB1D07" w14:textId="7D4FC85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0255">
        <w:rPr>
          <w:rFonts w:asciiTheme="minorHAnsi" w:hAnsiTheme="minorHAnsi" w:cstheme="minorHAnsi"/>
          <w:sz w:val="22"/>
          <w:szCs w:val="22"/>
        </w:rPr>
        <w:t>doc. Ing. Marie Paseková, Ph.D.</w:t>
      </w:r>
    </w:p>
    <w:p w14:paraId="05C5954D" w14:textId="568608C8" w:rsidR="00025BF3" w:rsidRDefault="00025BF3" w:rsidP="00F07C8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07C88" w:rsidRPr="00F07C88">
        <w:rPr>
          <w:rFonts w:cstheme="minorHAnsi"/>
        </w:rPr>
        <w:t>Prezentace účetní uzávěrky a závěrky vybrané právnické osoby</w:t>
      </w:r>
    </w:p>
    <w:p w14:paraId="07FD52EA" w14:textId="3479C0D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F529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4F7DE18" w:rsidR="000E094A" w:rsidRDefault="003647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7A506" w14:textId="77777777" w:rsidR="0036478D" w:rsidRPr="0036478D" w:rsidRDefault="0036478D" w:rsidP="003647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478D">
              <w:rPr>
                <w:rFonts w:cstheme="minorHAnsi"/>
              </w:rPr>
              <w:t>Cíl práce je srozumitelně formulován, což zahrnuje analýzu účetní uzávěrky a závěrky ve vybrané společnosti. Použité metody jsou vhodně zvoleny pro řešení dané problematiky a jsou v souladu se stanovenými cíli. To znamená, že metody byly správně vybrány a aplikovány tak, aby poskytly relevantní a užitečné výsledky.</w:t>
            </w:r>
          </w:p>
          <w:p w14:paraId="2F0BED47" w14:textId="6C462714" w:rsidR="006678BD" w:rsidRPr="006678BD" w:rsidRDefault="0036478D" w:rsidP="003647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478D">
              <w:rPr>
                <w:rFonts w:cstheme="minorHAnsi"/>
              </w:rPr>
              <w:t>Nicméně je zde prostor pro zlepšení v propracovanosti metod.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C9FB1E" w:rsidR="000E094A" w:rsidRDefault="00724E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4080F7C3" w:rsidR="00987B93" w:rsidRDefault="00300A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0AFF">
              <w:rPr>
                <w:rFonts w:cstheme="minorHAnsi"/>
              </w:rPr>
              <w:t xml:space="preserve">V teoretické části jsou popsány přípravné práce, které vedou ke zjištění výsledku hospodaření, výpočtu daně z příjmů právnických osob a uzavření účetních knih. Autorka vhodně zvolila jak domácí, tak zahraniční zdroje, což přispívá k širokému a vyváženému pohledu na problematiku. </w:t>
            </w:r>
            <w:r w:rsidR="00445901" w:rsidRPr="00445901">
              <w:rPr>
                <w:rFonts w:cstheme="minorHAnsi"/>
              </w:rPr>
              <w:t>Způsob citování je proveden adekvátně, což zajišťuje transparentnost a věrohodnost použitých informací. Citace jsou jasně uvedeny, což umožňuje čtenáři snadno ověřit zdroje a sledovat původ použitých dat. Tento přístup zvyšuje důvěryhodnost práce a zajišťuje, že všechny informace jsou podloženy relevantními zdroji.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32FAB3" w:rsidR="000E094A" w:rsidRDefault="00684F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0DDEB" w14:textId="77777777" w:rsidR="00B8215D" w:rsidRPr="00B8215D" w:rsidRDefault="00B8215D" w:rsidP="00B8215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8215D">
              <w:rPr>
                <w:rFonts w:cstheme="minorHAnsi"/>
              </w:rPr>
              <w:t>Praktická část vychází z teoretické části, přičemž byly vhodně aplikovány metody práce. Teoretická část poskytuje pevný základ, který zahrnuje teoretické koncepty, metodické postupy a právní rámec nezbytný pro správné pochopení účetní uzávěrky a závěrky. Tyto teoretické poznatky jsou klíčové pro následnou praktickou aplikaci.</w:t>
            </w:r>
          </w:p>
          <w:p w14:paraId="59C470B3" w14:textId="77777777" w:rsidR="00B8215D" w:rsidRPr="00B8215D" w:rsidRDefault="00B8215D" w:rsidP="00B8215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8215D">
              <w:rPr>
                <w:rFonts w:cstheme="minorHAnsi"/>
              </w:rPr>
              <w:t>Praktická část se zaměřuje na analýzu účetní uzávěrky a závěrky ve vybrané společnosti. Autorka využívá vnitropodnikové směrnice, účetní výkazy a rozhovory s účetním oddělením. Tento přístup umožňuje získat detailní vhled do konkrétních postupů a procesů ve společnosti. Vnitropodnikové směrnice poskytují rámec pro účetní postupy, zatímco účetní výkazy poskytují konkrétní finanční údaje potřebné pro analýzu.</w:t>
            </w:r>
          </w:p>
          <w:p w14:paraId="7013CAE9" w14:textId="77777777" w:rsidR="00B8215D" w:rsidRPr="00B8215D" w:rsidRDefault="00B8215D" w:rsidP="00B8215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8215D">
              <w:rPr>
                <w:rFonts w:cstheme="minorHAnsi"/>
              </w:rPr>
              <w:t>Rozhovory s účetním oddělením jsou důležitým zdrojem informací, které doplňují dostupné dokumenty a poskytují praktické poznatky o každodenních účetních operacích. Tento kombinovaný přístup zajišťuje, že analýza je komplexní a zahrnuje jak teoretické, tak praktické aspekty účetní uzávěrky a závěrky.</w:t>
            </w:r>
          </w:p>
          <w:p w14:paraId="303103B0" w14:textId="675F30C9" w:rsidR="000E094A" w:rsidRPr="000E094A" w:rsidRDefault="00B8215D" w:rsidP="00B8215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8215D">
              <w:rPr>
                <w:rFonts w:cstheme="minorHAnsi"/>
              </w:rPr>
              <w:t xml:space="preserve">Na základě získaných informací byla provedena detailní analýza, která identifikovala klíčové oblasti pro zlepšení. Autorka navrhla konkrétní doporučení, která mohou přispět ke zlepšení hospodárnosti podniku a zkvalitnění prezentace účetní závěrky.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678EFC2" w:rsidR="000E094A" w:rsidRDefault="004E0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E70A3" w14:textId="77777777" w:rsidR="009A78DB" w:rsidRPr="009A78DB" w:rsidRDefault="009A78DB" w:rsidP="009A78D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A78DB">
              <w:rPr>
                <w:rFonts w:cstheme="minorHAnsi"/>
              </w:rPr>
              <w:t>Výsledkem provedené analýzy je posouzení úplnosti, správnosti a souladu účetnictví s platnými právními předpisy a identifikace chyb, aby se zabránilo jejich opakovanému výskytu. Na základě porovnání teoretické a praktické části byl navržen soubor opatření a doporučení ke zlepšení aktuálního stavu.</w:t>
            </w:r>
          </w:p>
          <w:p w14:paraId="08191F52" w14:textId="77777777" w:rsidR="000E094A" w:rsidRPr="000E094A" w:rsidRDefault="000E094A" w:rsidP="008D0A6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AD189C2" w:rsidR="000E094A" w:rsidRDefault="00D073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063374" w14:textId="77777777" w:rsidR="000F1F78" w:rsidRDefault="000F1F78" w:rsidP="000F1F78">
            <w:pPr>
              <w:spacing w:before="120"/>
              <w:jc w:val="both"/>
            </w:pPr>
            <w:r>
              <w:t>Bakalářská práce splňuje cíle, které jsou vytyčeny v její úvodní části. Jednotlivé kapitoly na sebe logicky navazují, což zajišťuje plynulý přechod mezi teoretickou a praktickou částí. Praktická část efektivně využívá poznatky z teoretické části, což umožňuje aplikaci teoretických konceptů na konkrétní případy a situace.</w:t>
            </w:r>
          </w:p>
          <w:p w14:paraId="5506FFBB" w14:textId="77777777" w:rsidR="000F1F78" w:rsidRDefault="000F1F78" w:rsidP="000F1F78">
            <w:pPr>
              <w:spacing w:before="120"/>
              <w:jc w:val="both"/>
            </w:pPr>
            <w:r>
              <w:t>V práci je správně použita terminologie, což přispívá k odborné úrovni textu. Předepsané normy citování jsou dodrženy, což zajišťuje transparentnost a věrohodnost použitých zdrojů. Citace jsou provedeny adekvátně, což umožňuje čtenáři snadno ověřit informace a sledovat původ použitých dat.</w:t>
            </w:r>
          </w:p>
          <w:p w14:paraId="36E1C2FC" w14:textId="77777777" w:rsidR="000F1F78" w:rsidRDefault="000F1F78" w:rsidP="000F1F78">
            <w:pPr>
              <w:spacing w:before="120"/>
              <w:jc w:val="both"/>
            </w:pPr>
            <w:r>
              <w:t>K formální stránce práce stejně jako k jazykové a grafické úrovni nemám zásadní připomínky. Jazyková úroveň je vysoká, text je srozumitelný a dobře strukturovaný. Grafická úprava je přehledná a podporuje snadnou orientaci v textu. Použité grafy, tabulky a vizualizace jsou jasné a přehledné, což usnadňuje pochopení prezentovaných dat.</w:t>
            </w:r>
          </w:p>
          <w:p w14:paraId="7E11E79F" w14:textId="77777777" w:rsidR="000F1F78" w:rsidRDefault="000F1F78" w:rsidP="000F1F78">
            <w:pPr>
              <w:spacing w:before="120"/>
              <w:jc w:val="both"/>
            </w:pPr>
            <w:r>
              <w:t>Formální úprava bakalářské práce respektuje obsahovou logiku práce. Kapitoly jsou uspořádány tak, aby čtenář mohl snadno sledovat postup práce od teoretických východisek přes praktickou aplikaci až po závěry a doporučení. Podle mého názoru práce odpovídá požadavkům kladeným na bakalářskou práci a splňuje všechny stanovené standardy.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20A0CD" w:rsidR="009C7318" w:rsidRDefault="006D5A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1728E4">
        <w:trPr>
          <w:trHeight w:val="1308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B1AA5" w14:textId="77777777" w:rsidR="00684CF7" w:rsidRDefault="00684CF7" w:rsidP="00684CF7">
            <w:pPr>
              <w:tabs>
                <w:tab w:val="right" w:pos="8789"/>
              </w:tabs>
              <w:jc w:val="both"/>
            </w:pPr>
            <w:bookmarkStart w:id="1" w:name="_Hlk98164743"/>
            <w:r>
              <w:t>Autorka zpracovala analýzu účetní uzávěrky a závěrky vybrané společnosti. Teoretická část poskytuje pevný základ pro praktickou část, která se zaměřuje na konkrétní kroky účetní uzávěrky a závěrky. V teoretické části jsou sumarizována východiska nezbytná pro následnou analýzu, což zahrnuje teoretické koncepty, metodické postupy a právní rámec, který je nutný pro správné pochopení a aplikaci účetních postupů.</w:t>
            </w:r>
          </w:p>
          <w:p w14:paraId="27704E99" w14:textId="77777777" w:rsidR="00684CF7" w:rsidRDefault="00684CF7" w:rsidP="00684CF7">
            <w:pPr>
              <w:tabs>
                <w:tab w:val="right" w:pos="8789"/>
              </w:tabs>
              <w:jc w:val="both"/>
            </w:pPr>
            <w:r>
              <w:t>Cíl práce byl úspěšně naplněn, což znamená, že autorka dokázala propojit teoretické poznatky s praktickými aplikacemi. Praktická část využívá vnitropodnikové směrnice, účetní výkazy a rozhovory s účetním oddělením. Tento přístup umožnil získat detailní vhled do konkrétních postupů a procesů ve společnosti. Detailnější rozbor byl omezen nedostatkem informací, což naznačuje, že některé aspekty účetní uzávěrky a závěrky nebyly plně dostupné pro analýzu.</w:t>
            </w:r>
          </w:p>
          <w:p w14:paraId="4FC68188" w14:textId="1AD0C0FB" w:rsidR="00F92C79" w:rsidRPr="000E094A" w:rsidRDefault="00684CF7" w:rsidP="00684CF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Na základě analýzy výkazů byla navržena doporučení ke zlepšení hospodárnosti podniku a zkvalitnění prezentace účetní závěrky</w:t>
            </w:r>
            <w:r w:rsidR="00E02286">
              <w:t>.</w:t>
            </w:r>
            <w:bookmarkStart w:id="2" w:name="_GoBack"/>
            <w:bookmarkEnd w:id="2"/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4C1A3A2" w:rsidR="009C7318" w:rsidRDefault="00EE14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 xml:space="preserve">Jaké jsou důsledky </w:t>
      </w:r>
      <w:r w:rsidR="00D123CC">
        <w:t xml:space="preserve">neúplné </w:t>
      </w:r>
      <w:r w:rsidR="0062619A">
        <w:t>prezentace</w:t>
      </w:r>
      <w:r w:rsidR="00120BFF">
        <w:t xml:space="preserve"> účetní závěrky </w:t>
      </w:r>
      <w:r w:rsidR="00120BFF" w:rsidRPr="00933CF6">
        <w:rPr>
          <w:rFonts w:cstheme="minorHAnsi"/>
        </w:rPr>
        <w:t>pro ekonomické rozhodování a důvěryhodnost účetní jednotky?</w:t>
      </w:r>
    </w:p>
    <w:p w14:paraId="79A98FF5" w14:textId="77777777" w:rsidR="0003448A" w:rsidRPr="0003448A" w:rsidRDefault="0003448A" w:rsidP="0003448A">
      <w:pPr>
        <w:spacing w:after="120" w:line="240" w:lineRule="auto"/>
        <w:jc w:val="both"/>
        <w:rPr>
          <w:rFonts w:cstheme="minorHAnsi"/>
        </w:rPr>
      </w:pPr>
    </w:p>
    <w:p w14:paraId="4E3072FA" w14:textId="0D74F61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3448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3448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75541F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3448A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EF856" w14:textId="77777777" w:rsidR="00C81A3C" w:rsidRDefault="00C81A3C" w:rsidP="00A40E93">
      <w:pPr>
        <w:spacing w:after="0" w:line="240" w:lineRule="auto"/>
      </w:pPr>
      <w:r>
        <w:separator/>
      </w:r>
    </w:p>
  </w:endnote>
  <w:endnote w:type="continuationSeparator" w:id="0">
    <w:p w14:paraId="21110658" w14:textId="77777777" w:rsidR="00C81A3C" w:rsidRDefault="00C81A3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96F96" w14:textId="77777777" w:rsidR="00C81A3C" w:rsidRDefault="00C81A3C" w:rsidP="00A40E93">
      <w:pPr>
        <w:spacing w:after="0" w:line="240" w:lineRule="auto"/>
      </w:pPr>
      <w:r>
        <w:separator/>
      </w:r>
    </w:p>
  </w:footnote>
  <w:footnote w:type="continuationSeparator" w:id="0">
    <w:p w14:paraId="113F80F1" w14:textId="77777777" w:rsidR="00C81A3C" w:rsidRDefault="00C81A3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448A"/>
    <w:rsid w:val="000504F6"/>
    <w:rsid w:val="0006599F"/>
    <w:rsid w:val="000B126D"/>
    <w:rsid w:val="000B284E"/>
    <w:rsid w:val="000E094A"/>
    <w:rsid w:val="000F1F78"/>
    <w:rsid w:val="00112356"/>
    <w:rsid w:val="00120BFF"/>
    <w:rsid w:val="0012768C"/>
    <w:rsid w:val="001728E4"/>
    <w:rsid w:val="001D018E"/>
    <w:rsid w:val="001D2B54"/>
    <w:rsid w:val="001E0255"/>
    <w:rsid w:val="0024258E"/>
    <w:rsid w:val="00292193"/>
    <w:rsid w:val="0029651C"/>
    <w:rsid w:val="002E4661"/>
    <w:rsid w:val="00300AFF"/>
    <w:rsid w:val="00330D9B"/>
    <w:rsid w:val="0036478D"/>
    <w:rsid w:val="00376D9C"/>
    <w:rsid w:val="003B767E"/>
    <w:rsid w:val="00407B92"/>
    <w:rsid w:val="00445901"/>
    <w:rsid w:val="00446B16"/>
    <w:rsid w:val="004D378C"/>
    <w:rsid w:val="004E0632"/>
    <w:rsid w:val="00515096"/>
    <w:rsid w:val="00527984"/>
    <w:rsid w:val="00577FA2"/>
    <w:rsid w:val="005A3B4A"/>
    <w:rsid w:val="005C4ACA"/>
    <w:rsid w:val="005D36C7"/>
    <w:rsid w:val="00624787"/>
    <w:rsid w:val="0062619A"/>
    <w:rsid w:val="006678BD"/>
    <w:rsid w:val="0067082B"/>
    <w:rsid w:val="00684CF7"/>
    <w:rsid w:val="00684FA4"/>
    <w:rsid w:val="00694399"/>
    <w:rsid w:val="006D5A16"/>
    <w:rsid w:val="006F023B"/>
    <w:rsid w:val="00724EAF"/>
    <w:rsid w:val="0073639B"/>
    <w:rsid w:val="007431E8"/>
    <w:rsid w:val="007553A6"/>
    <w:rsid w:val="00761883"/>
    <w:rsid w:val="007A6612"/>
    <w:rsid w:val="007F1BC8"/>
    <w:rsid w:val="0085398A"/>
    <w:rsid w:val="008B781B"/>
    <w:rsid w:val="008D0A67"/>
    <w:rsid w:val="008E3DA1"/>
    <w:rsid w:val="009001DB"/>
    <w:rsid w:val="00933CF6"/>
    <w:rsid w:val="00974EA2"/>
    <w:rsid w:val="00977C23"/>
    <w:rsid w:val="00987B93"/>
    <w:rsid w:val="009A78DB"/>
    <w:rsid w:val="009C322A"/>
    <w:rsid w:val="009C7318"/>
    <w:rsid w:val="009D7697"/>
    <w:rsid w:val="00A40E93"/>
    <w:rsid w:val="00A669F6"/>
    <w:rsid w:val="00A7527E"/>
    <w:rsid w:val="00AC6C5D"/>
    <w:rsid w:val="00B14451"/>
    <w:rsid w:val="00B8215D"/>
    <w:rsid w:val="00B9051D"/>
    <w:rsid w:val="00BA16DD"/>
    <w:rsid w:val="00BF0C24"/>
    <w:rsid w:val="00C24710"/>
    <w:rsid w:val="00C24AFD"/>
    <w:rsid w:val="00C27492"/>
    <w:rsid w:val="00C81A3C"/>
    <w:rsid w:val="00CA34A9"/>
    <w:rsid w:val="00CC2D8F"/>
    <w:rsid w:val="00CD12C3"/>
    <w:rsid w:val="00CE55BD"/>
    <w:rsid w:val="00D073DC"/>
    <w:rsid w:val="00D123CC"/>
    <w:rsid w:val="00DB343C"/>
    <w:rsid w:val="00DC4BFD"/>
    <w:rsid w:val="00DC7D52"/>
    <w:rsid w:val="00E02286"/>
    <w:rsid w:val="00E22423"/>
    <w:rsid w:val="00E75961"/>
    <w:rsid w:val="00E7633F"/>
    <w:rsid w:val="00E878C6"/>
    <w:rsid w:val="00EC14AA"/>
    <w:rsid w:val="00EE1490"/>
    <w:rsid w:val="00EF1720"/>
    <w:rsid w:val="00F07C88"/>
    <w:rsid w:val="00F2114C"/>
    <w:rsid w:val="00F92C79"/>
    <w:rsid w:val="00F969C4"/>
    <w:rsid w:val="00FA7930"/>
    <w:rsid w:val="00FB302B"/>
    <w:rsid w:val="00FC2852"/>
    <w:rsid w:val="00FD17C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B7B6A"/>
    <w:rsid w:val="002C4E55"/>
    <w:rsid w:val="0041498C"/>
    <w:rsid w:val="00510546"/>
    <w:rsid w:val="005E083B"/>
    <w:rsid w:val="00932C8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2025-05-28T11:28:00Z</dcterms:created>
  <dcterms:modified xsi:type="dcterms:W3CDTF">2025-05-28T11:28:00Z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